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8E" w:rsidRDefault="003755EF" w:rsidP="00D1218E">
      <w:pPr>
        <w:rPr>
          <w:shadow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-109855</wp:posOffset>
            </wp:positionV>
            <wp:extent cx="657225" cy="638175"/>
            <wp:effectExtent l="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18E" w:rsidRDefault="00D1218E" w:rsidP="00D1218E">
      <w:pPr>
        <w:jc w:val="center"/>
        <w:outlineLvl w:val="0"/>
        <w:rPr>
          <w:b/>
          <w:sz w:val="28"/>
          <w:szCs w:val="28"/>
        </w:rPr>
      </w:pPr>
    </w:p>
    <w:p w:rsidR="00D1218E" w:rsidRDefault="00D1218E" w:rsidP="00D1218E">
      <w:pPr>
        <w:jc w:val="center"/>
        <w:outlineLvl w:val="0"/>
        <w:rPr>
          <w:b/>
          <w:sz w:val="28"/>
          <w:szCs w:val="28"/>
        </w:rPr>
      </w:pPr>
    </w:p>
    <w:p w:rsidR="002D01B7" w:rsidRPr="00142904" w:rsidRDefault="00EF422B" w:rsidP="00142904">
      <w:pPr>
        <w:jc w:val="center"/>
        <w:rPr>
          <w:b/>
          <w:bCs/>
          <w:sz w:val="28"/>
          <w:szCs w:val="28"/>
        </w:rPr>
      </w:pPr>
      <w:r w:rsidRPr="008823A6">
        <w:rPr>
          <w:b/>
          <w:bCs/>
          <w:sz w:val="28"/>
          <w:szCs w:val="28"/>
        </w:rPr>
        <w:t>ΕΛΛΗΝΙΚΗ ΔΗΜΟΚΡΑΤΙΑ</w:t>
      </w:r>
      <w:r w:rsidR="00142904">
        <w:rPr>
          <w:b/>
          <w:bCs/>
          <w:sz w:val="28"/>
          <w:szCs w:val="28"/>
        </w:rPr>
        <w:br/>
      </w:r>
      <w:r w:rsidRPr="008823A6">
        <w:rPr>
          <w:b/>
          <w:bCs/>
          <w:sz w:val="28"/>
          <w:szCs w:val="28"/>
        </w:rPr>
        <w:t>ΥΠΟΥΡΓΕΙΟ ΑΓΡΟΤΙΚΗΣ ΑΝΑΠΤΥΞΗΣ ΚΑΙ ΤΡΟΦΙΜΩΝ</w:t>
      </w:r>
      <w:r w:rsidR="00142904">
        <w:rPr>
          <w:b/>
          <w:bCs/>
          <w:sz w:val="28"/>
          <w:szCs w:val="28"/>
        </w:rPr>
        <w:br/>
      </w:r>
      <w:r w:rsidR="00807E5E">
        <w:rPr>
          <w:b/>
          <w:bCs/>
          <w:sz w:val="28"/>
          <w:szCs w:val="28"/>
        </w:rPr>
        <w:t>ΓΡΑΦΕΙΟ ΤΥΠΟΥ</w:t>
      </w:r>
    </w:p>
    <w:p w:rsidR="003253FB" w:rsidRPr="002D01B7" w:rsidRDefault="003253FB" w:rsidP="002D01B7">
      <w:pPr>
        <w:jc w:val="center"/>
        <w:rPr>
          <w:b/>
          <w:sz w:val="28"/>
          <w:szCs w:val="28"/>
        </w:rPr>
      </w:pPr>
    </w:p>
    <w:p w:rsidR="00B21DC8" w:rsidRDefault="00B21DC8" w:rsidP="00B21DC8">
      <w:pPr>
        <w:jc w:val="both"/>
        <w:rPr>
          <w:b/>
          <w:color w:val="000000"/>
          <w:sz w:val="28"/>
          <w:szCs w:val="28"/>
        </w:rPr>
      </w:pPr>
    </w:p>
    <w:p w:rsidR="00BE71DB" w:rsidRPr="00BE71DB" w:rsidRDefault="00005EF3" w:rsidP="00B21DC8">
      <w:pPr>
        <w:jc w:val="right"/>
        <w:rPr>
          <w:b/>
          <w:color w:val="000000"/>
          <w:sz w:val="28"/>
          <w:szCs w:val="28"/>
        </w:rPr>
      </w:pPr>
      <w:r w:rsidRPr="008823A6">
        <w:rPr>
          <w:b/>
          <w:color w:val="000000"/>
          <w:sz w:val="28"/>
          <w:szCs w:val="28"/>
        </w:rPr>
        <w:t>Αθήνα</w:t>
      </w:r>
      <w:r>
        <w:rPr>
          <w:b/>
          <w:color w:val="000000"/>
          <w:sz w:val="28"/>
          <w:szCs w:val="28"/>
        </w:rPr>
        <w:t>,</w:t>
      </w:r>
      <w:r w:rsidR="004D64E8">
        <w:rPr>
          <w:b/>
          <w:color w:val="000000"/>
          <w:sz w:val="28"/>
          <w:szCs w:val="28"/>
        </w:rPr>
        <w:t xml:space="preserve"> 5</w:t>
      </w:r>
      <w:r w:rsidR="005F6633">
        <w:rPr>
          <w:b/>
          <w:color w:val="000000"/>
          <w:sz w:val="28"/>
          <w:szCs w:val="28"/>
        </w:rPr>
        <w:t xml:space="preserve"> </w:t>
      </w:r>
      <w:r w:rsidR="000A628C">
        <w:rPr>
          <w:b/>
          <w:color w:val="000000"/>
          <w:sz w:val="28"/>
          <w:szCs w:val="28"/>
        </w:rPr>
        <w:t>Ιανουαρίου 2022</w:t>
      </w:r>
    </w:p>
    <w:p w:rsidR="00BE71DB" w:rsidRPr="00BE71DB" w:rsidRDefault="00BE71DB" w:rsidP="00BE71DB">
      <w:pPr>
        <w:jc w:val="both"/>
        <w:rPr>
          <w:b/>
          <w:color w:val="000000"/>
          <w:sz w:val="28"/>
          <w:szCs w:val="28"/>
        </w:rPr>
      </w:pPr>
    </w:p>
    <w:p w:rsidR="00D65E48" w:rsidRPr="007450FD" w:rsidRDefault="00BE71DB" w:rsidP="00B66AAD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450FD">
        <w:rPr>
          <w:rFonts w:asciiTheme="minorHAnsi" w:hAnsiTheme="minorHAnsi" w:cstheme="minorHAnsi"/>
          <w:b/>
          <w:u w:val="single"/>
        </w:rPr>
        <w:t>ΔΕΛΤΙΟ ΤΥΠΟΥ</w:t>
      </w:r>
    </w:p>
    <w:p w:rsidR="00EE6558" w:rsidRPr="00FF3DD2" w:rsidRDefault="00EE6558" w:rsidP="00EE6558">
      <w:pPr>
        <w:jc w:val="center"/>
        <w:rPr>
          <w:rFonts w:asciiTheme="minorHAnsi" w:hAnsiTheme="minorHAnsi" w:cstheme="minorHAnsi"/>
          <w:sz w:val="30"/>
          <w:szCs w:val="30"/>
        </w:rPr>
      </w:pPr>
      <w:r w:rsidRPr="00FF3DD2">
        <w:rPr>
          <w:rFonts w:asciiTheme="minorHAnsi" w:hAnsiTheme="minorHAnsi" w:cstheme="minorHAnsi"/>
          <w:b/>
          <w:sz w:val="30"/>
          <w:szCs w:val="30"/>
        </w:rPr>
        <w:t xml:space="preserve">Με ενέργειες </w:t>
      </w:r>
      <w:r w:rsidR="002A3F0A" w:rsidRPr="00FF3DD2">
        <w:rPr>
          <w:rFonts w:asciiTheme="minorHAnsi" w:hAnsiTheme="minorHAnsi" w:cstheme="minorHAnsi"/>
          <w:b/>
          <w:sz w:val="30"/>
          <w:szCs w:val="30"/>
        </w:rPr>
        <w:t>Λιβανού-Κεδίκογλου</w:t>
      </w:r>
      <w:r w:rsidRPr="00FF3DD2">
        <w:rPr>
          <w:rFonts w:asciiTheme="minorHAnsi" w:hAnsiTheme="minorHAnsi" w:cstheme="minorHAnsi"/>
          <w:b/>
          <w:sz w:val="30"/>
          <w:szCs w:val="30"/>
        </w:rPr>
        <w:t xml:space="preserve"> αυξήθηκε στο 96,60% το ποσοστό απορρόφησης των </w:t>
      </w:r>
      <w:r w:rsidRPr="00FF3DD2">
        <w:rPr>
          <w:rStyle w:val="a6"/>
          <w:rFonts w:asciiTheme="minorHAnsi" w:hAnsiTheme="minorHAnsi" w:cstheme="minorHAnsi"/>
          <w:color w:val="222222"/>
          <w:sz w:val="30"/>
          <w:szCs w:val="30"/>
          <w:bdr w:val="none" w:sz="0" w:space="0" w:color="auto" w:frame="1"/>
          <w:shd w:val="clear" w:color="auto" w:fill="FFFFFF"/>
        </w:rPr>
        <w:t>Ευρωπαϊκών Πόρων του Ε</w:t>
      </w:r>
      <w:r w:rsidR="00FF3DD2" w:rsidRPr="00FF3DD2">
        <w:rPr>
          <w:rStyle w:val="a6"/>
          <w:rFonts w:asciiTheme="minorHAnsi" w:hAnsiTheme="minorHAnsi" w:cstheme="minorHAnsi"/>
          <w:color w:val="222222"/>
          <w:sz w:val="30"/>
          <w:szCs w:val="30"/>
          <w:bdr w:val="none" w:sz="0" w:space="0" w:color="auto" w:frame="1"/>
          <w:shd w:val="clear" w:color="auto" w:fill="FFFFFF"/>
        </w:rPr>
        <w:t>ΠΑλΘ</w:t>
      </w:r>
      <w:r w:rsidRPr="00FF3DD2">
        <w:rPr>
          <w:rStyle w:val="a6"/>
          <w:rFonts w:asciiTheme="minorHAnsi" w:hAnsiTheme="minorHAnsi" w:cstheme="minorHAnsi"/>
          <w:color w:val="222222"/>
          <w:sz w:val="30"/>
          <w:szCs w:val="30"/>
          <w:bdr w:val="none" w:sz="0" w:space="0" w:color="auto" w:frame="1"/>
          <w:shd w:val="clear" w:color="auto" w:fill="FFFFFF"/>
        </w:rPr>
        <w:t>2014-2020</w:t>
      </w:r>
    </w:p>
    <w:p w:rsidR="00BC3821" w:rsidRPr="007450FD" w:rsidRDefault="00BC3821" w:rsidP="00EE6558">
      <w:pPr>
        <w:rPr>
          <w:rFonts w:asciiTheme="minorHAnsi" w:hAnsiTheme="minorHAnsi" w:cstheme="minorHAnsi"/>
          <w:b/>
        </w:rPr>
      </w:pPr>
    </w:p>
    <w:p w:rsidR="005F6633" w:rsidRPr="007450FD" w:rsidRDefault="005F6633" w:rsidP="005F6633">
      <w:pPr>
        <w:rPr>
          <w:rFonts w:asciiTheme="minorHAnsi" w:hAnsiTheme="minorHAnsi" w:cstheme="minorHAnsi"/>
        </w:rPr>
      </w:pPr>
    </w:p>
    <w:p w:rsidR="00044253" w:rsidRPr="00FF3DD2" w:rsidRDefault="00830213" w:rsidP="00044253">
      <w:pPr>
        <w:jc w:val="both"/>
        <w:rPr>
          <w:rFonts w:asciiTheme="minorHAnsi" w:hAnsiTheme="minorHAnsi" w:cstheme="minorHAnsi"/>
          <w:b/>
          <w:bCs/>
        </w:rPr>
      </w:pPr>
      <w:r w:rsidRPr="007450FD">
        <w:rPr>
          <w:rFonts w:asciiTheme="minorHAnsi" w:hAnsiTheme="minorHAnsi" w:cstheme="minorHAnsi"/>
        </w:rPr>
        <w:t xml:space="preserve">Σε </w:t>
      </w:r>
      <w:r w:rsidR="005C30B9" w:rsidRPr="007450FD">
        <w:rPr>
          <w:rFonts w:asciiTheme="minorHAnsi" w:hAnsiTheme="minorHAnsi" w:cstheme="minorHAnsi"/>
        </w:rPr>
        <w:t xml:space="preserve">ιστορικά </w:t>
      </w:r>
      <w:r w:rsidRPr="007450FD">
        <w:rPr>
          <w:rFonts w:asciiTheme="minorHAnsi" w:hAnsiTheme="minorHAnsi" w:cstheme="minorHAnsi"/>
        </w:rPr>
        <w:t xml:space="preserve">υψηλά επίπεδακινήθηκε το ποσοστό </w:t>
      </w:r>
      <w:r w:rsidR="005F6633" w:rsidRPr="007450FD">
        <w:rPr>
          <w:rFonts w:asciiTheme="minorHAnsi" w:hAnsiTheme="minorHAnsi" w:cstheme="minorHAnsi"/>
        </w:rPr>
        <w:t>απορρόφησης</w:t>
      </w:r>
      <w:r w:rsidR="00F66DCD" w:rsidRPr="007450FD">
        <w:rPr>
          <w:rFonts w:asciiTheme="minorHAnsi" w:hAnsiTheme="minorHAnsi" w:cstheme="minorHAnsi"/>
        </w:rPr>
        <w:t xml:space="preserve"> των</w:t>
      </w:r>
      <w:r w:rsidR="005F6633" w:rsidRPr="007450FD">
        <w:rPr>
          <w:rFonts w:asciiTheme="minorHAnsi" w:hAnsiTheme="minorHAnsi" w:cstheme="minorHAnsi"/>
        </w:rPr>
        <w:t xml:space="preserve"> Ενωσιακών πόρων για το έτος 2021 που αφορά</w:t>
      </w:r>
      <w:r w:rsidR="00044253" w:rsidRPr="007450FD">
        <w:rPr>
          <w:rFonts w:asciiTheme="minorHAnsi" w:hAnsiTheme="minorHAnsi" w:cstheme="minorHAnsi"/>
        </w:rPr>
        <w:t xml:space="preserve"> στο </w:t>
      </w:r>
      <w:r w:rsidR="00FF3DD2" w:rsidRPr="00FF3DD2">
        <w:rPr>
          <w:rStyle w:val="a6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  <w:shd w:val="clear" w:color="auto" w:fill="FFFFFF"/>
        </w:rPr>
        <w:t>Επιχειρησιακ</w:t>
      </w:r>
      <w:r w:rsidR="00B304B7">
        <w:rPr>
          <w:rStyle w:val="a6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  <w:shd w:val="clear" w:color="auto" w:fill="FFFFFF"/>
        </w:rPr>
        <w:t>όΠρόγραμμα</w:t>
      </w:r>
      <w:r w:rsidR="00FF3DD2" w:rsidRPr="00FF3DD2">
        <w:rPr>
          <w:rStyle w:val="a6"/>
          <w:rFonts w:asciiTheme="minorHAnsi" w:hAnsiTheme="minorHAnsi" w:cstheme="minorHAnsi"/>
          <w:b w:val="0"/>
          <w:bCs w:val="0"/>
          <w:color w:val="222222"/>
          <w:bdr w:val="none" w:sz="0" w:space="0" w:color="auto" w:frame="1"/>
          <w:shd w:val="clear" w:color="auto" w:fill="FFFFFF"/>
        </w:rPr>
        <w:t xml:space="preserve"> Αλιείας και Θάλασσας 2014-2020 (</w:t>
      </w:r>
      <w:r w:rsidR="00044253" w:rsidRPr="00FF3DD2">
        <w:rPr>
          <w:rFonts w:asciiTheme="minorHAnsi" w:hAnsiTheme="minorHAnsi" w:cstheme="minorHAnsi"/>
          <w:b/>
          <w:bCs/>
        </w:rPr>
        <w:t>ΕΠΑ</w:t>
      </w:r>
      <w:r w:rsidR="00FF3DD2" w:rsidRPr="00FF3DD2">
        <w:rPr>
          <w:rFonts w:asciiTheme="minorHAnsi" w:hAnsiTheme="minorHAnsi" w:cstheme="minorHAnsi"/>
          <w:b/>
          <w:bCs/>
        </w:rPr>
        <w:t>λ</w:t>
      </w:r>
      <w:r w:rsidR="00044253" w:rsidRPr="00FF3DD2">
        <w:rPr>
          <w:rFonts w:asciiTheme="minorHAnsi" w:hAnsiTheme="minorHAnsi" w:cstheme="minorHAnsi"/>
          <w:b/>
          <w:bCs/>
        </w:rPr>
        <w:t>Θ 2014-2020</w:t>
      </w:r>
      <w:r w:rsidR="00FF3DD2" w:rsidRPr="00FF3DD2">
        <w:rPr>
          <w:rFonts w:asciiTheme="minorHAnsi" w:hAnsiTheme="minorHAnsi" w:cstheme="minorHAnsi"/>
          <w:b/>
          <w:bCs/>
        </w:rPr>
        <w:t>)</w:t>
      </w:r>
      <w:r w:rsidR="00044253" w:rsidRPr="00FF3DD2">
        <w:rPr>
          <w:rFonts w:asciiTheme="minorHAnsi" w:hAnsiTheme="minorHAnsi" w:cstheme="minorHAnsi"/>
          <w:b/>
          <w:bCs/>
        </w:rPr>
        <w:t>.</w:t>
      </w:r>
    </w:p>
    <w:p w:rsidR="00044253" w:rsidRPr="007450FD" w:rsidRDefault="00044253" w:rsidP="00044253">
      <w:pPr>
        <w:jc w:val="both"/>
        <w:rPr>
          <w:rFonts w:asciiTheme="minorHAnsi" w:hAnsiTheme="minorHAnsi" w:cstheme="minorHAnsi"/>
        </w:rPr>
      </w:pPr>
    </w:p>
    <w:p w:rsidR="008F4F5E" w:rsidRPr="007450FD" w:rsidRDefault="00C74EE7" w:rsidP="00044253">
      <w:pPr>
        <w:jc w:val="both"/>
        <w:rPr>
          <w:rFonts w:asciiTheme="minorHAnsi" w:hAnsiTheme="minorHAnsi" w:cstheme="minorHAnsi"/>
        </w:rPr>
      </w:pPr>
      <w:r w:rsidRPr="007450FD">
        <w:rPr>
          <w:rFonts w:asciiTheme="minorHAnsi" w:hAnsiTheme="minorHAnsi" w:cstheme="minorHAnsi"/>
        </w:rPr>
        <w:t>Σύμφωνα</w:t>
      </w:r>
      <w:r w:rsidR="005F6633" w:rsidRPr="007450FD">
        <w:rPr>
          <w:rFonts w:asciiTheme="minorHAnsi" w:hAnsiTheme="minorHAnsi" w:cstheme="minorHAnsi"/>
        </w:rPr>
        <w:t xml:space="preserve"> μ</w:t>
      </w:r>
      <w:r w:rsidR="005F6633" w:rsidRPr="007450FD">
        <w:rPr>
          <w:rFonts w:asciiTheme="minorHAnsi" w:hAnsiTheme="minorHAnsi" w:cstheme="minorHAnsi"/>
          <w:color w:val="222222"/>
        </w:rPr>
        <w:t>ε τα στοιχεία της Αρχής Πιστοποίησης, θα αφορά σε </w:t>
      </w:r>
      <w:r w:rsidR="005F6633" w:rsidRPr="007450FD">
        <w:rPr>
          <w:rFonts w:asciiTheme="minorHAnsi" w:hAnsiTheme="minorHAnsi" w:cstheme="minorHAnsi"/>
          <w:b/>
          <w:bCs/>
          <w:color w:val="222222"/>
        </w:rPr>
        <w:t>10.452.350,96 €</w:t>
      </w:r>
      <w:r w:rsidR="005F6633" w:rsidRPr="007450FD">
        <w:rPr>
          <w:rFonts w:asciiTheme="minorHAnsi" w:hAnsiTheme="minorHAnsi" w:cstheme="minorHAnsi"/>
          <w:color w:val="222222"/>
        </w:rPr>
        <w:t> συνεισφοράς</w:t>
      </w:r>
      <w:r w:rsidR="00B304B7">
        <w:rPr>
          <w:rFonts w:asciiTheme="minorHAnsi" w:hAnsiTheme="minorHAnsi" w:cstheme="minorHAnsi"/>
          <w:color w:val="222222"/>
        </w:rPr>
        <w:t xml:space="preserve"> του</w:t>
      </w:r>
      <w:r w:rsidR="005F6633" w:rsidRPr="007450FD">
        <w:rPr>
          <w:rFonts w:asciiTheme="minorHAnsi" w:hAnsiTheme="minorHAnsi" w:cstheme="minorHAnsi"/>
          <w:color w:val="222222"/>
        </w:rPr>
        <w:t xml:space="preserve"> Ευρωπαϊκού Ταμείο</w:t>
      </w:r>
      <w:r w:rsidR="008F4F5E" w:rsidRPr="007450FD">
        <w:rPr>
          <w:rFonts w:asciiTheme="minorHAnsi" w:hAnsiTheme="minorHAnsi" w:cstheme="minorHAnsi"/>
          <w:color w:val="222222"/>
        </w:rPr>
        <w:t xml:space="preserve">υ Θάλασσας και Αλιείας (ΕΤΘΑ). </w:t>
      </w:r>
    </w:p>
    <w:p w:rsidR="005F6633" w:rsidRPr="007450FD" w:rsidRDefault="008F4F5E" w:rsidP="005F6633">
      <w:pPr>
        <w:shd w:val="clear" w:color="auto" w:fill="FFFFFF"/>
        <w:spacing w:after="200" w:line="293" w:lineRule="atLeast"/>
        <w:jc w:val="both"/>
        <w:rPr>
          <w:rFonts w:asciiTheme="minorHAnsi" w:hAnsiTheme="minorHAnsi" w:cstheme="minorHAnsi"/>
          <w:color w:val="222222"/>
        </w:rPr>
      </w:pPr>
      <w:r w:rsidRPr="007450FD">
        <w:rPr>
          <w:rFonts w:asciiTheme="minorHAnsi" w:hAnsiTheme="minorHAnsi" w:cstheme="minorHAnsi"/>
          <w:color w:val="222222"/>
        </w:rPr>
        <w:t>Α</w:t>
      </w:r>
      <w:r w:rsidR="005F6633" w:rsidRPr="007450FD">
        <w:rPr>
          <w:rFonts w:asciiTheme="minorHAnsi" w:hAnsiTheme="minorHAnsi" w:cstheme="minorHAnsi"/>
          <w:color w:val="222222"/>
        </w:rPr>
        <w:t>ντίστοιχα, η κάλυψη του ετήσιου στόχου απορρόφησης – αθροιζόμενη στα έξι (6) προηγούμενα αιτήματα - ανέρχεται σε </w:t>
      </w:r>
      <w:r w:rsidR="005F6633" w:rsidRPr="007450FD">
        <w:rPr>
          <w:rFonts w:asciiTheme="minorHAnsi" w:hAnsiTheme="minorHAnsi" w:cstheme="minorHAnsi"/>
          <w:b/>
          <w:bCs/>
          <w:color w:val="222222"/>
        </w:rPr>
        <w:t>55.251.758,51 €</w:t>
      </w:r>
      <w:r w:rsidR="005F6633" w:rsidRPr="007450FD">
        <w:rPr>
          <w:rFonts w:asciiTheme="minorHAnsi" w:hAnsiTheme="minorHAnsi" w:cstheme="minorHAnsi"/>
          <w:color w:val="222222"/>
        </w:rPr>
        <w:t> συνεισφοράς ΕΤΘΑ (εκ των 57.194.904,37 € του στόχου), το σχετικό ποσοστό διαμορφώνεται στο </w:t>
      </w:r>
      <w:r w:rsidR="005F6633" w:rsidRPr="007450FD">
        <w:rPr>
          <w:rFonts w:asciiTheme="minorHAnsi" w:hAnsiTheme="minorHAnsi" w:cstheme="minorHAnsi"/>
          <w:b/>
          <w:bCs/>
          <w:color w:val="222222"/>
        </w:rPr>
        <w:t>96,60 % </w:t>
      </w:r>
      <w:r w:rsidR="005F6633" w:rsidRPr="007450FD">
        <w:rPr>
          <w:rFonts w:asciiTheme="minorHAnsi" w:hAnsiTheme="minorHAnsi" w:cstheme="minorHAnsi"/>
          <w:color w:val="222222"/>
        </w:rPr>
        <w:t>το δε υπόλοιπο αντιστοιχεί σε 1.943.145,86 € συνεισφοράς ΕΤΘΑ</w:t>
      </w:r>
      <w:r w:rsidR="005F6633" w:rsidRPr="007450FD">
        <w:rPr>
          <w:rFonts w:asciiTheme="minorHAnsi" w:hAnsiTheme="minorHAnsi" w:cstheme="minorHAnsi"/>
          <w:b/>
          <w:bCs/>
          <w:color w:val="222222"/>
        </w:rPr>
        <w:t>.</w:t>
      </w:r>
    </w:p>
    <w:p w:rsidR="005F6633" w:rsidRPr="007450FD" w:rsidRDefault="005F6633" w:rsidP="005F6633">
      <w:pPr>
        <w:shd w:val="clear" w:color="auto" w:fill="FFFFFF"/>
        <w:spacing w:line="293" w:lineRule="atLeast"/>
        <w:jc w:val="both"/>
        <w:rPr>
          <w:rFonts w:asciiTheme="minorHAnsi" w:hAnsiTheme="minorHAnsi" w:cstheme="minorHAnsi"/>
          <w:color w:val="222222"/>
        </w:rPr>
      </w:pPr>
      <w:r w:rsidRPr="007450FD">
        <w:rPr>
          <w:rFonts w:asciiTheme="minorHAnsi" w:hAnsiTheme="minorHAnsi" w:cstheme="minorHAnsi"/>
          <w:color w:val="222222"/>
        </w:rPr>
        <w:t>Σημειώνεται ότι από τα 57.194.904,37 € του στόχου, τα 45.602.660,37€ αφορούν στον στόχο του 2021</w:t>
      </w:r>
      <w:r w:rsidR="007450FD" w:rsidRPr="007450FD">
        <w:rPr>
          <w:rFonts w:asciiTheme="minorHAnsi" w:hAnsiTheme="minorHAnsi" w:cstheme="minorHAnsi"/>
          <w:color w:val="222222"/>
          <w:shd w:val="clear" w:color="auto" w:fill="FFFFFF"/>
        </w:rPr>
        <w:t>(που καλύφθηκε κατά 100%)</w:t>
      </w:r>
      <w:r w:rsidRPr="007450FD">
        <w:rPr>
          <w:rFonts w:asciiTheme="minorHAnsi" w:hAnsiTheme="minorHAnsi" w:cstheme="minorHAnsi"/>
          <w:color w:val="222222"/>
        </w:rPr>
        <w:t xml:space="preserve"> και τα 11.592.244 € αφορούν στο υπόλοιπο του στόχου του 2020 το οποίο δεν είχε αποδεσμευτεί κατόπιν αποδοχής από την ΕΕ του αιτήματος εξαίρεσης που </w:t>
      </w:r>
      <w:r w:rsidR="00D93026" w:rsidRPr="007450FD">
        <w:rPr>
          <w:rFonts w:asciiTheme="minorHAnsi" w:hAnsiTheme="minorHAnsi" w:cstheme="minorHAnsi"/>
          <w:color w:val="222222"/>
        </w:rPr>
        <w:t>υποβλήθηκε από την Αρμόδια Δ</w:t>
      </w:r>
      <w:r w:rsidR="008667E6" w:rsidRPr="007450FD">
        <w:rPr>
          <w:rFonts w:asciiTheme="minorHAnsi" w:hAnsiTheme="minorHAnsi" w:cstheme="minorHAnsi"/>
          <w:color w:val="222222"/>
        </w:rPr>
        <w:t>ιαχειριστ</w:t>
      </w:r>
      <w:r w:rsidR="00D93026" w:rsidRPr="007450FD">
        <w:rPr>
          <w:rFonts w:asciiTheme="minorHAnsi" w:hAnsiTheme="minorHAnsi" w:cstheme="minorHAnsi"/>
          <w:color w:val="222222"/>
        </w:rPr>
        <w:t>ι</w:t>
      </w:r>
      <w:r w:rsidR="008667E6" w:rsidRPr="007450FD">
        <w:rPr>
          <w:rFonts w:asciiTheme="minorHAnsi" w:hAnsiTheme="minorHAnsi" w:cstheme="minorHAnsi"/>
          <w:color w:val="222222"/>
        </w:rPr>
        <w:t xml:space="preserve">κή </w:t>
      </w:r>
      <w:r w:rsidR="00D93026" w:rsidRPr="007450FD">
        <w:rPr>
          <w:rFonts w:asciiTheme="minorHAnsi" w:hAnsiTheme="minorHAnsi" w:cstheme="minorHAnsi"/>
          <w:color w:val="222222"/>
        </w:rPr>
        <w:t>Αρχή</w:t>
      </w:r>
      <w:r w:rsidR="008F4F5E" w:rsidRPr="007450FD">
        <w:rPr>
          <w:rFonts w:asciiTheme="minorHAnsi" w:hAnsiTheme="minorHAnsi" w:cstheme="minorHAnsi"/>
          <w:color w:val="222222"/>
        </w:rPr>
        <w:t xml:space="preserve">. </w:t>
      </w:r>
    </w:p>
    <w:p w:rsidR="002A3F0A" w:rsidRPr="007450FD" w:rsidRDefault="002A3F0A" w:rsidP="005F6633">
      <w:pPr>
        <w:shd w:val="clear" w:color="auto" w:fill="FFFFFF"/>
        <w:spacing w:line="293" w:lineRule="atLeast"/>
        <w:jc w:val="both"/>
        <w:rPr>
          <w:rFonts w:asciiTheme="minorHAnsi" w:hAnsiTheme="minorHAnsi" w:cstheme="minorHAnsi"/>
          <w:color w:val="222222"/>
        </w:rPr>
      </w:pPr>
    </w:p>
    <w:p w:rsidR="005F6633" w:rsidRPr="007450FD" w:rsidRDefault="005F6633" w:rsidP="005F6633">
      <w:pPr>
        <w:shd w:val="clear" w:color="auto" w:fill="FFFFFF"/>
        <w:spacing w:line="293" w:lineRule="atLeast"/>
        <w:jc w:val="both"/>
        <w:rPr>
          <w:rFonts w:asciiTheme="minorHAnsi" w:hAnsiTheme="minorHAnsi" w:cstheme="minorHAnsi"/>
          <w:color w:val="222222"/>
        </w:rPr>
      </w:pPr>
      <w:r w:rsidRPr="007450FD">
        <w:rPr>
          <w:rFonts w:asciiTheme="minorHAnsi" w:hAnsiTheme="minorHAnsi" w:cstheme="minorHAnsi"/>
          <w:color w:val="222222"/>
        </w:rPr>
        <w:t>Παρά τη σωρεία προβλημάτων και δυσκολιών που ανέκυψαν,</w:t>
      </w:r>
      <w:r w:rsidR="002A3F0A" w:rsidRPr="007450FD">
        <w:rPr>
          <w:rFonts w:asciiTheme="minorHAnsi" w:hAnsiTheme="minorHAnsi" w:cstheme="minorHAnsi"/>
          <w:color w:val="222222"/>
        </w:rPr>
        <w:t xml:space="preserve"> καθώς και το γεγονός ότι επί της διακυβέρνησης ΣΥΡΙΖΑ δεν υπήρξε </w:t>
      </w:r>
      <w:r w:rsidR="00421458">
        <w:rPr>
          <w:rFonts w:asciiTheme="minorHAnsi" w:hAnsiTheme="minorHAnsi" w:cstheme="minorHAnsi"/>
          <w:color w:val="222222"/>
        </w:rPr>
        <w:t xml:space="preserve">απορρόφηση </w:t>
      </w:r>
      <w:r w:rsidRPr="007450FD">
        <w:rPr>
          <w:rFonts w:asciiTheme="minorHAnsi" w:hAnsiTheme="minorHAnsi" w:cstheme="minorHAnsi"/>
          <w:color w:val="222222"/>
        </w:rPr>
        <w:t>το συγκεκριμένο ποσοστό απορρόφησης </w:t>
      </w:r>
      <w:r w:rsidR="002A3F0A" w:rsidRPr="007450FD">
        <w:rPr>
          <w:rFonts w:asciiTheme="minorHAnsi" w:hAnsiTheme="minorHAnsi" w:cstheme="minorHAnsi"/>
          <w:color w:val="222222"/>
        </w:rPr>
        <w:t>αποτελεί σημαντική επιτυχία</w:t>
      </w:r>
      <w:r w:rsidR="003207AE" w:rsidRPr="007450FD">
        <w:rPr>
          <w:rFonts w:asciiTheme="minorHAnsi" w:hAnsiTheme="minorHAnsi" w:cstheme="minorHAnsi"/>
          <w:color w:val="222222"/>
        </w:rPr>
        <w:t>,</w:t>
      </w:r>
      <w:r w:rsidR="002A3F0A" w:rsidRPr="007450FD">
        <w:rPr>
          <w:rFonts w:asciiTheme="minorHAnsi" w:hAnsiTheme="minorHAnsi" w:cstheme="minorHAnsi"/>
          <w:color w:val="222222"/>
        </w:rPr>
        <w:t xml:space="preserve"> αποτέλεσμα της συνεργασίας μεταξύ του Υπουργού Σπήλιου Λιβανού και του Υφυπουργού Αγροτικής Ανάπτυξης και Τροφίμων κ. Σίμου Κεδίκογλου</w:t>
      </w:r>
      <w:r w:rsidR="00B304B7">
        <w:rPr>
          <w:rFonts w:asciiTheme="minorHAnsi" w:hAnsiTheme="minorHAnsi" w:cstheme="minorHAnsi"/>
          <w:color w:val="222222"/>
        </w:rPr>
        <w:t>.</w:t>
      </w:r>
    </w:p>
    <w:p w:rsidR="0048241C" w:rsidRPr="007450FD" w:rsidRDefault="0048241C" w:rsidP="005F6633">
      <w:pPr>
        <w:shd w:val="clear" w:color="auto" w:fill="FFFFFF"/>
        <w:spacing w:line="293" w:lineRule="atLeast"/>
        <w:jc w:val="both"/>
        <w:rPr>
          <w:rFonts w:asciiTheme="minorHAnsi" w:hAnsiTheme="minorHAnsi" w:cstheme="minorHAnsi"/>
          <w:b/>
          <w:bCs/>
          <w:color w:val="222222"/>
        </w:rPr>
      </w:pPr>
    </w:p>
    <w:p w:rsidR="005F6633" w:rsidRPr="007450FD" w:rsidRDefault="0068125E" w:rsidP="005F6633">
      <w:pPr>
        <w:shd w:val="clear" w:color="auto" w:fill="FFFFFF"/>
        <w:spacing w:line="293" w:lineRule="atLeast"/>
        <w:jc w:val="both"/>
        <w:rPr>
          <w:rFonts w:asciiTheme="minorHAnsi" w:hAnsiTheme="minorHAnsi" w:cstheme="minorHAnsi"/>
          <w:color w:val="222222"/>
        </w:rPr>
      </w:pPr>
      <w:r w:rsidRPr="007450FD">
        <w:rPr>
          <w:rFonts w:asciiTheme="minorHAnsi" w:hAnsiTheme="minorHAnsi" w:cstheme="minorHAnsi"/>
          <w:color w:val="222222"/>
        </w:rPr>
        <w:t xml:space="preserve">Τέλος, </w:t>
      </w:r>
      <w:r w:rsidR="0048241C" w:rsidRPr="007450FD">
        <w:rPr>
          <w:rFonts w:asciiTheme="minorHAnsi" w:hAnsiTheme="minorHAnsi" w:cstheme="minorHAnsi"/>
          <w:color w:val="222222"/>
        </w:rPr>
        <w:t>στην επίτευξη του στόχου συνέβαλαν καθοριστικά ο</w:t>
      </w:r>
      <w:r w:rsidR="005F6633" w:rsidRPr="007450FD">
        <w:rPr>
          <w:rFonts w:asciiTheme="minorHAnsi" w:hAnsiTheme="minorHAnsi" w:cstheme="minorHAnsi"/>
          <w:color w:val="222222"/>
        </w:rPr>
        <w:t xml:space="preserve"> Γ.Γ. Ενωσιακών Πόρων και Υποδομών κ. Δημήτρη</w:t>
      </w:r>
      <w:r w:rsidR="0048241C" w:rsidRPr="007450FD">
        <w:rPr>
          <w:rFonts w:asciiTheme="minorHAnsi" w:hAnsiTheme="minorHAnsi" w:cstheme="minorHAnsi"/>
          <w:color w:val="222222"/>
        </w:rPr>
        <w:t>ς</w:t>
      </w:r>
      <w:r w:rsidR="005F6633" w:rsidRPr="007450FD">
        <w:rPr>
          <w:rFonts w:asciiTheme="minorHAnsi" w:hAnsiTheme="minorHAnsi" w:cstheme="minorHAnsi"/>
          <w:color w:val="222222"/>
        </w:rPr>
        <w:t xml:space="preserve"> Παπαγιαννίδη</w:t>
      </w:r>
      <w:r w:rsidR="0048241C" w:rsidRPr="007450FD">
        <w:rPr>
          <w:rFonts w:asciiTheme="minorHAnsi" w:hAnsiTheme="minorHAnsi" w:cstheme="minorHAnsi"/>
          <w:color w:val="222222"/>
        </w:rPr>
        <w:t>ς</w:t>
      </w:r>
      <w:r w:rsidR="002A3F0A" w:rsidRPr="007450FD">
        <w:rPr>
          <w:rFonts w:asciiTheme="minorHAnsi" w:hAnsiTheme="minorHAnsi" w:cstheme="minorHAnsi"/>
          <w:color w:val="222222"/>
        </w:rPr>
        <w:t xml:space="preserve">, ο Γενικός Γραμματέας Αγροτικής Πολιτικής και Διεθνών Σχέσεων κ. Μπαγινέτας υπό την προηγούμενη ιδιότητα του, </w:t>
      </w:r>
      <w:r w:rsidR="005F6633" w:rsidRPr="007450FD">
        <w:rPr>
          <w:rFonts w:asciiTheme="minorHAnsi" w:hAnsiTheme="minorHAnsi" w:cstheme="minorHAnsi"/>
          <w:color w:val="222222"/>
        </w:rPr>
        <w:t xml:space="preserve"> και τα αρμόδια στελέχη της ΕΥΔΕΠΑλΘ και της Γενικής Διεύθυνσης Οικονομικών Υπηρεσιών (Γ.Δ.Ο.Υ</w:t>
      </w:r>
      <w:r w:rsidR="0048241C" w:rsidRPr="007450FD">
        <w:rPr>
          <w:rFonts w:asciiTheme="minorHAnsi" w:hAnsiTheme="minorHAnsi" w:cstheme="minorHAnsi"/>
          <w:color w:val="222222"/>
        </w:rPr>
        <w:t>.).</w:t>
      </w:r>
    </w:p>
    <w:p w:rsidR="005F6633" w:rsidRDefault="005F6633" w:rsidP="005F6633">
      <w:pPr>
        <w:jc w:val="both"/>
        <w:rPr>
          <w:rFonts w:cstheme="minorHAnsi"/>
          <w:b/>
          <w:sz w:val="28"/>
          <w:szCs w:val="28"/>
        </w:rPr>
      </w:pPr>
    </w:p>
    <w:p w:rsidR="007450FD" w:rsidRPr="00BC3821" w:rsidRDefault="007450FD" w:rsidP="00745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…..</w:t>
      </w:r>
    </w:p>
    <w:sectPr w:rsidR="007450FD" w:rsidRPr="00BC3821" w:rsidSect="001D161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DC" w:rsidRDefault="007D43DC">
      <w:r>
        <w:separator/>
      </w:r>
    </w:p>
  </w:endnote>
  <w:endnote w:type="continuationSeparator" w:id="1">
    <w:p w:rsidR="007D43DC" w:rsidRDefault="007D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D3" w:rsidRDefault="0002692F" w:rsidP="00782C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04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4D3" w:rsidRDefault="00F704D3" w:rsidP="004D57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1" w:rsidRDefault="00D30361">
    <w:pPr>
      <w:pStyle w:val="a3"/>
      <w:jc w:val="right"/>
    </w:pPr>
  </w:p>
  <w:p w:rsidR="00F704D3" w:rsidRPr="007915E7" w:rsidRDefault="00F704D3" w:rsidP="00D21B9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DC" w:rsidRDefault="007D43DC">
      <w:r>
        <w:separator/>
      </w:r>
    </w:p>
  </w:footnote>
  <w:footnote w:type="continuationSeparator" w:id="1">
    <w:p w:rsidR="007D43DC" w:rsidRDefault="007D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DB0"/>
    <w:multiLevelType w:val="hybridMultilevel"/>
    <w:tmpl w:val="B2C81A0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A2671"/>
    <w:multiLevelType w:val="hybridMultilevel"/>
    <w:tmpl w:val="189A3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31D7"/>
    <w:multiLevelType w:val="hybridMultilevel"/>
    <w:tmpl w:val="6022961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11220"/>
    <w:multiLevelType w:val="hybridMultilevel"/>
    <w:tmpl w:val="2A4AA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6DBA"/>
    <w:multiLevelType w:val="hybridMultilevel"/>
    <w:tmpl w:val="5B08D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D58BF"/>
    <w:multiLevelType w:val="multilevel"/>
    <w:tmpl w:val="6AC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D3CDB"/>
    <w:multiLevelType w:val="hybridMultilevel"/>
    <w:tmpl w:val="AAAE7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75143"/>
    <w:multiLevelType w:val="hybridMultilevel"/>
    <w:tmpl w:val="7D7EADD4"/>
    <w:lvl w:ilvl="0" w:tplc="36C0C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9B6E6E"/>
    <w:multiLevelType w:val="hybridMultilevel"/>
    <w:tmpl w:val="7CCAB89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1816FB"/>
    <w:multiLevelType w:val="hybridMultilevel"/>
    <w:tmpl w:val="C8586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42EA5"/>
    <w:multiLevelType w:val="hybridMultilevel"/>
    <w:tmpl w:val="5220EF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8E"/>
    <w:rsid w:val="00004122"/>
    <w:rsid w:val="00005EF3"/>
    <w:rsid w:val="00006D42"/>
    <w:rsid w:val="0000755F"/>
    <w:rsid w:val="0002692F"/>
    <w:rsid w:val="00044253"/>
    <w:rsid w:val="00044C48"/>
    <w:rsid w:val="00076308"/>
    <w:rsid w:val="00084458"/>
    <w:rsid w:val="00087F0C"/>
    <w:rsid w:val="00091B2B"/>
    <w:rsid w:val="0009605F"/>
    <w:rsid w:val="00096926"/>
    <w:rsid w:val="000A106A"/>
    <w:rsid w:val="000A192F"/>
    <w:rsid w:val="000A628C"/>
    <w:rsid w:val="000C4DAB"/>
    <w:rsid w:val="000D2916"/>
    <w:rsid w:val="000D5A02"/>
    <w:rsid w:val="000E012C"/>
    <w:rsid w:val="000F16AE"/>
    <w:rsid w:val="000F78E9"/>
    <w:rsid w:val="00104ACC"/>
    <w:rsid w:val="00105E80"/>
    <w:rsid w:val="00106A28"/>
    <w:rsid w:val="00121AC8"/>
    <w:rsid w:val="00124E9E"/>
    <w:rsid w:val="00130EF6"/>
    <w:rsid w:val="00135C99"/>
    <w:rsid w:val="00142904"/>
    <w:rsid w:val="00143343"/>
    <w:rsid w:val="00145749"/>
    <w:rsid w:val="00147810"/>
    <w:rsid w:val="00176BB7"/>
    <w:rsid w:val="00184450"/>
    <w:rsid w:val="00184713"/>
    <w:rsid w:val="00186382"/>
    <w:rsid w:val="001879AD"/>
    <w:rsid w:val="00195A91"/>
    <w:rsid w:val="001A0340"/>
    <w:rsid w:val="001B3178"/>
    <w:rsid w:val="001D161A"/>
    <w:rsid w:val="001D6E09"/>
    <w:rsid w:val="001F24BF"/>
    <w:rsid w:val="001F2723"/>
    <w:rsid w:val="0020766E"/>
    <w:rsid w:val="00220575"/>
    <w:rsid w:val="00231AFC"/>
    <w:rsid w:val="00240513"/>
    <w:rsid w:val="00241613"/>
    <w:rsid w:val="002510C5"/>
    <w:rsid w:val="00256BA4"/>
    <w:rsid w:val="00260E45"/>
    <w:rsid w:val="00267E02"/>
    <w:rsid w:val="002724B6"/>
    <w:rsid w:val="00277DAA"/>
    <w:rsid w:val="002A338A"/>
    <w:rsid w:val="002A3F0A"/>
    <w:rsid w:val="002A4428"/>
    <w:rsid w:val="002D01B7"/>
    <w:rsid w:val="002D7B6E"/>
    <w:rsid w:val="002E4CFF"/>
    <w:rsid w:val="002E721B"/>
    <w:rsid w:val="002F4C0F"/>
    <w:rsid w:val="003031E8"/>
    <w:rsid w:val="003207AE"/>
    <w:rsid w:val="003253FB"/>
    <w:rsid w:val="00342F18"/>
    <w:rsid w:val="00343179"/>
    <w:rsid w:val="0035076E"/>
    <w:rsid w:val="00363B0C"/>
    <w:rsid w:val="0036646F"/>
    <w:rsid w:val="003718FD"/>
    <w:rsid w:val="00372665"/>
    <w:rsid w:val="00374117"/>
    <w:rsid w:val="003755EF"/>
    <w:rsid w:val="00387998"/>
    <w:rsid w:val="003924AB"/>
    <w:rsid w:val="00396D3C"/>
    <w:rsid w:val="003A03FD"/>
    <w:rsid w:val="003A52B2"/>
    <w:rsid w:val="003A7E62"/>
    <w:rsid w:val="003B4405"/>
    <w:rsid w:val="003B7129"/>
    <w:rsid w:val="003C09A0"/>
    <w:rsid w:val="003C7D45"/>
    <w:rsid w:val="003D32EE"/>
    <w:rsid w:val="003D6F42"/>
    <w:rsid w:val="003D7190"/>
    <w:rsid w:val="003F0F57"/>
    <w:rsid w:val="003F5339"/>
    <w:rsid w:val="00403F57"/>
    <w:rsid w:val="0040493B"/>
    <w:rsid w:val="0040656A"/>
    <w:rsid w:val="004209C2"/>
    <w:rsid w:val="00421458"/>
    <w:rsid w:val="00421D20"/>
    <w:rsid w:val="00431A64"/>
    <w:rsid w:val="0043440C"/>
    <w:rsid w:val="00446508"/>
    <w:rsid w:val="00457CAD"/>
    <w:rsid w:val="00461587"/>
    <w:rsid w:val="0047142E"/>
    <w:rsid w:val="00474812"/>
    <w:rsid w:val="00480549"/>
    <w:rsid w:val="004815A0"/>
    <w:rsid w:val="0048241C"/>
    <w:rsid w:val="0048455B"/>
    <w:rsid w:val="004A0493"/>
    <w:rsid w:val="004A7042"/>
    <w:rsid w:val="004B5314"/>
    <w:rsid w:val="004B54B5"/>
    <w:rsid w:val="004C4D1E"/>
    <w:rsid w:val="004C5F27"/>
    <w:rsid w:val="004D24BA"/>
    <w:rsid w:val="004D57E4"/>
    <w:rsid w:val="004D64E8"/>
    <w:rsid w:val="004E06AF"/>
    <w:rsid w:val="004E3A40"/>
    <w:rsid w:val="004E4209"/>
    <w:rsid w:val="004E43C3"/>
    <w:rsid w:val="004E563E"/>
    <w:rsid w:val="004E5CAD"/>
    <w:rsid w:val="004F288E"/>
    <w:rsid w:val="004F3391"/>
    <w:rsid w:val="004F4A4C"/>
    <w:rsid w:val="0050513D"/>
    <w:rsid w:val="00505867"/>
    <w:rsid w:val="00506EE1"/>
    <w:rsid w:val="00512986"/>
    <w:rsid w:val="00514B5D"/>
    <w:rsid w:val="0051584A"/>
    <w:rsid w:val="00524BBE"/>
    <w:rsid w:val="0053642B"/>
    <w:rsid w:val="00547482"/>
    <w:rsid w:val="00547748"/>
    <w:rsid w:val="00551B20"/>
    <w:rsid w:val="00553A5F"/>
    <w:rsid w:val="00562A2E"/>
    <w:rsid w:val="00570995"/>
    <w:rsid w:val="0057521D"/>
    <w:rsid w:val="00575B07"/>
    <w:rsid w:val="00591768"/>
    <w:rsid w:val="00593CFD"/>
    <w:rsid w:val="005965E6"/>
    <w:rsid w:val="00597852"/>
    <w:rsid w:val="00597CB7"/>
    <w:rsid w:val="005A2C19"/>
    <w:rsid w:val="005A5345"/>
    <w:rsid w:val="005A6AE8"/>
    <w:rsid w:val="005C30B9"/>
    <w:rsid w:val="005C557A"/>
    <w:rsid w:val="005C6DD3"/>
    <w:rsid w:val="005E0053"/>
    <w:rsid w:val="005E0103"/>
    <w:rsid w:val="005E3E48"/>
    <w:rsid w:val="005F47B3"/>
    <w:rsid w:val="005F6633"/>
    <w:rsid w:val="006019F4"/>
    <w:rsid w:val="00605763"/>
    <w:rsid w:val="00605A02"/>
    <w:rsid w:val="00626319"/>
    <w:rsid w:val="00631437"/>
    <w:rsid w:val="006314B6"/>
    <w:rsid w:val="0064383E"/>
    <w:rsid w:val="00644C06"/>
    <w:rsid w:val="00656E5E"/>
    <w:rsid w:val="0067030F"/>
    <w:rsid w:val="006719EE"/>
    <w:rsid w:val="00680A3F"/>
    <w:rsid w:val="0068125E"/>
    <w:rsid w:val="006852F7"/>
    <w:rsid w:val="00692403"/>
    <w:rsid w:val="006969B7"/>
    <w:rsid w:val="006A29F9"/>
    <w:rsid w:val="006B2E65"/>
    <w:rsid w:val="006B4412"/>
    <w:rsid w:val="006C329F"/>
    <w:rsid w:val="006D0529"/>
    <w:rsid w:val="006D44AA"/>
    <w:rsid w:val="006D57D3"/>
    <w:rsid w:val="006E151D"/>
    <w:rsid w:val="006F3A4F"/>
    <w:rsid w:val="00701903"/>
    <w:rsid w:val="0070490C"/>
    <w:rsid w:val="007068ED"/>
    <w:rsid w:val="00716DAC"/>
    <w:rsid w:val="0072524D"/>
    <w:rsid w:val="00737270"/>
    <w:rsid w:val="00741D36"/>
    <w:rsid w:val="007450FD"/>
    <w:rsid w:val="00751832"/>
    <w:rsid w:val="00757503"/>
    <w:rsid w:val="00760AC8"/>
    <w:rsid w:val="007801BC"/>
    <w:rsid w:val="00780A0A"/>
    <w:rsid w:val="00782C91"/>
    <w:rsid w:val="007870C2"/>
    <w:rsid w:val="007915E7"/>
    <w:rsid w:val="007938B0"/>
    <w:rsid w:val="007A2188"/>
    <w:rsid w:val="007A3235"/>
    <w:rsid w:val="007B072C"/>
    <w:rsid w:val="007C152E"/>
    <w:rsid w:val="007C6D8D"/>
    <w:rsid w:val="007D43DC"/>
    <w:rsid w:val="007D6768"/>
    <w:rsid w:val="007E13E2"/>
    <w:rsid w:val="007E2252"/>
    <w:rsid w:val="007E2934"/>
    <w:rsid w:val="007E42C9"/>
    <w:rsid w:val="007E7B35"/>
    <w:rsid w:val="00807094"/>
    <w:rsid w:val="00807E5E"/>
    <w:rsid w:val="008208A3"/>
    <w:rsid w:val="008226F7"/>
    <w:rsid w:val="00822A84"/>
    <w:rsid w:val="008256E8"/>
    <w:rsid w:val="00830213"/>
    <w:rsid w:val="0083255E"/>
    <w:rsid w:val="00832902"/>
    <w:rsid w:val="00843AEB"/>
    <w:rsid w:val="00845ABD"/>
    <w:rsid w:val="0085053F"/>
    <w:rsid w:val="008544D8"/>
    <w:rsid w:val="008576B4"/>
    <w:rsid w:val="008601E8"/>
    <w:rsid w:val="008659EC"/>
    <w:rsid w:val="008667E6"/>
    <w:rsid w:val="00866B8E"/>
    <w:rsid w:val="00867E3D"/>
    <w:rsid w:val="0087390F"/>
    <w:rsid w:val="008822D0"/>
    <w:rsid w:val="00895304"/>
    <w:rsid w:val="00896D8D"/>
    <w:rsid w:val="008A58B0"/>
    <w:rsid w:val="008B45F7"/>
    <w:rsid w:val="008C3111"/>
    <w:rsid w:val="008C6DF8"/>
    <w:rsid w:val="008D6285"/>
    <w:rsid w:val="008E36F8"/>
    <w:rsid w:val="008E4605"/>
    <w:rsid w:val="008F4F5E"/>
    <w:rsid w:val="00900F6B"/>
    <w:rsid w:val="0090338D"/>
    <w:rsid w:val="00903B31"/>
    <w:rsid w:val="0090569A"/>
    <w:rsid w:val="009217DF"/>
    <w:rsid w:val="0092776E"/>
    <w:rsid w:val="00930E31"/>
    <w:rsid w:val="00932C44"/>
    <w:rsid w:val="00934FE8"/>
    <w:rsid w:val="009406FE"/>
    <w:rsid w:val="009419BA"/>
    <w:rsid w:val="00941A02"/>
    <w:rsid w:val="009430E3"/>
    <w:rsid w:val="00946835"/>
    <w:rsid w:val="009542CC"/>
    <w:rsid w:val="009648BB"/>
    <w:rsid w:val="0096748D"/>
    <w:rsid w:val="00972D34"/>
    <w:rsid w:val="00976D92"/>
    <w:rsid w:val="009802E4"/>
    <w:rsid w:val="009835AD"/>
    <w:rsid w:val="00983FDA"/>
    <w:rsid w:val="00992AAF"/>
    <w:rsid w:val="009A2606"/>
    <w:rsid w:val="009A4AF5"/>
    <w:rsid w:val="009A687B"/>
    <w:rsid w:val="009A6F71"/>
    <w:rsid w:val="009B073F"/>
    <w:rsid w:val="009B70E1"/>
    <w:rsid w:val="009C0799"/>
    <w:rsid w:val="009D44A6"/>
    <w:rsid w:val="009D64A3"/>
    <w:rsid w:val="009D6DA9"/>
    <w:rsid w:val="009E3886"/>
    <w:rsid w:val="00A00163"/>
    <w:rsid w:val="00A0729B"/>
    <w:rsid w:val="00A15CD3"/>
    <w:rsid w:val="00A30168"/>
    <w:rsid w:val="00A31117"/>
    <w:rsid w:val="00A34302"/>
    <w:rsid w:val="00A667BD"/>
    <w:rsid w:val="00A751FF"/>
    <w:rsid w:val="00A7729A"/>
    <w:rsid w:val="00A8637A"/>
    <w:rsid w:val="00AA1AAC"/>
    <w:rsid w:val="00AA2E7F"/>
    <w:rsid w:val="00AA5044"/>
    <w:rsid w:val="00AC027A"/>
    <w:rsid w:val="00AC5B6D"/>
    <w:rsid w:val="00AD44B1"/>
    <w:rsid w:val="00AD6B10"/>
    <w:rsid w:val="00AE21A8"/>
    <w:rsid w:val="00AE51D9"/>
    <w:rsid w:val="00AF3128"/>
    <w:rsid w:val="00AF3A6B"/>
    <w:rsid w:val="00B039B5"/>
    <w:rsid w:val="00B1123E"/>
    <w:rsid w:val="00B13979"/>
    <w:rsid w:val="00B179B9"/>
    <w:rsid w:val="00B20262"/>
    <w:rsid w:val="00B21DC8"/>
    <w:rsid w:val="00B304B7"/>
    <w:rsid w:val="00B43AB6"/>
    <w:rsid w:val="00B54D51"/>
    <w:rsid w:val="00B579F5"/>
    <w:rsid w:val="00B66AAD"/>
    <w:rsid w:val="00B67932"/>
    <w:rsid w:val="00B67D1E"/>
    <w:rsid w:val="00B7545B"/>
    <w:rsid w:val="00B8541A"/>
    <w:rsid w:val="00B91C46"/>
    <w:rsid w:val="00BA08EC"/>
    <w:rsid w:val="00BA24B9"/>
    <w:rsid w:val="00BA7278"/>
    <w:rsid w:val="00BC2CD4"/>
    <w:rsid w:val="00BC3821"/>
    <w:rsid w:val="00BC4EA4"/>
    <w:rsid w:val="00BD6DC5"/>
    <w:rsid w:val="00BE0D42"/>
    <w:rsid w:val="00BE71DB"/>
    <w:rsid w:val="00C05C7D"/>
    <w:rsid w:val="00C121C7"/>
    <w:rsid w:val="00C134A8"/>
    <w:rsid w:val="00C167BF"/>
    <w:rsid w:val="00C27FDD"/>
    <w:rsid w:val="00C36C93"/>
    <w:rsid w:val="00C37B89"/>
    <w:rsid w:val="00C4347E"/>
    <w:rsid w:val="00C44525"/>
    <w:rsid w:val="00C5627C"/>
    <w:rsid w:val="00C61B4E"/>
    <w:rsid w:val="00C61C1F"/>
    <w:rsid w:val="00C66988"/>
    <w:rsid w:val="00C67C3C"/>
    <w:rsid w:val="00C74EE7"/>
    <w:rsid w:val="00C768C2"/>
    <w:rsid w:val="00C817AC"/>
    <w:rsid w:val="00C83A20"/>
    <w:rsid w:val="00C87C49"/>
    <w:rsid w:val="00C92335"/>
    <w:rsid w:val="00C9341B"/>
    <w:rsid w:val="00C97A98"/>
    <w:rsid w:val="00CA586F"/>
    <w:rsid w:val="00CD0A44"/>
    <w:rsid w:val="00CD6309"/>
    <w:rsid w:val="00CE4217"/>
    <w:rsid w:val="00CF3B20"/>
    <w:rsid w:val="00D1218E"/>
    <w:rsid w:val="00D162E9"/>
    <w:rsid w:val="00D21B9D"/>
    <w:rsid w:val="00D24737"/>
    <w:rsid w:val="00D30361"/>
    <w:rsid w:val="00D4686D"/>
    <w:rsid w:val="00D47076"/>
    <w:rsid w:val="00D50DD9"/>
    <w:rsid w:val="00D56AFB"/>
    <w:rsid w:val="00D56D38"/>
    <w:rsid w:val="00D65015"/>
    <w:rsid w:val="00D65E48"/>
    <w:rsid w:val="00D85F83"/>
    <w:rsid w:val="00D8638F"/>
    <w:rsid w:val="00D93026"/>
    <w:rsid w:val="00D9572C"/>
    <w:rsid w:val="00DA56FE"/>
    <w:rsid w:val="00DA7078"/>
    <w:rsid w:val="00DC0A90"/>
    <w:rsid w:val="00DC1DB7"/>
    <w:rsid w:val="00DC3B51"/>
    <w:rsid w:val="00DC78A7"/>
    <w:rsid w:val="00DD3E95"/>
    <w:rsid w:val="00DD6CE0"/>
    <w:rsid w:val="00DE1213"/>
    <w:rsid w:val="00DE1E93"/>
    <w:rsid w:val="00DE4A1A"/>
    <w:rsid w:val="00DE5CAE"/>
    <w:rsid w:val="00E07AFB"/>
    <w:rsid w:val="00E132DB"/>
    <w:rsid w:val="00E135C5"/>
    <w:rsid w:val="00E213B6"/>
    <w:rsid w:val="00E268DB"/>
    <w:rsid w:val="00E353B0"/>
    <w:rsid w:val="00E40FD9"/>
    <w:rsid w:val="00E43E63"/>
    <w:rsid w:val="00E46C20"/>
    <w:rsid w:val="00E474FE"/>
    <w:rsid w:val="00E569C9"/>
    <w:rsid w:val="00E57328"/>
    <w:rsid w:val="00E60098"/>
    <w:rsid w:val="00E65E31"/>
    <w:rsid w:val="00E747E5"/>
    <w:rsid w:val="00E821B2"/>
    <w:rsid w:val="00EA77A2"/>
    <w:rsid w:val="00EB1491"/>
    <w:rsid w:val="00EB5AD2"/>
    <w:rsid w:val="00EC7D39"/>
    <w:rsid w:val="00ED2085"/>
    <w:rsid w:val="00ED3B4C"/>
    <w:rsid w:val="00EE2518"/>
    <w:rsid w:val="00EE3CF1"/>
    <w:rsid w:val="00EE6558"/>
    <w:rsid w:val="00EE7486"/>
    <w:rsid w:val="00EF1C42"/>
    <w:rsid w:val="00EF422B"/>
    <w:rsid w:val="00EF72AE"/>
    <w:rsid w:val="00F06976"/>
    <w:rsid w:val="00F07311"/>
    <w:rsid w:val="00F143A5"/>
    <w:rsid w:val="00F16F1B"/>
    <w:rsid w:val="00F21608"/>
    <w:rsid w:val="00F255C7"/>
    <w:rsid w:val="00F2569B"/>
    <w:rsid w:val="00F36636"/>
    <w:rsid w:val="00F4119F"/>
    <w:rsid w:val="00F54FF7"/>
    <w:rsid w:val="00F57B5B"/>
    <w:rsid w:val="00F641F5"/>
    <w:rsid w:val="00F66DCD"/>
    <w:rsid w:val="00F704D3"/>
    <w:rsid w:val="00F7498C"/>
    <w:rsid w:val="00FA75A0"/>
    <w:rsid w:val="00FA7919"/>
    <w:rsid w:val="00FB61E9"/>
    <w:rsid w:val="00FD060C"/>
    <w:rsid w:val="00FD3065"/>
    <w:rsid w:val="00FD35F4"/>
    <w:rsid w:val="00FE03DD"/>
    <w:rsid w:val="00FE40DF"/>
    <w:rsid w:val="00FE7426"/>
    <w:rsid w:val="00FF3DD2"/>
    <w:rsid w:val="00FF66CC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67932"/>
    <w:pPr>
      <w:keepNext/>
      <w:ind w:left="2160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AE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7E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57E4"/>
  </w:style>
  <w:style w:type="paragraph" w:styleId="a5">
    <w:name w:val="header"/>
    <w:basedOn w:val="a"/>
    <w:link w:val="Char0"/>
    <w:uiPriority w:val="99"/>
    <w:rsid w:val="00457CAD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basedOn w:val="a0"/>
    <w:link w:val="1"/>
    <w:locked/>
    <w:rsid w:val="00B67932"/>
    <w:rPr>
      <w:rFonts w:eastAsia="Calibri"/>
      <w:b/>
      <w:bCs/>
      <w:sz w:val="32"/>
      <w:szCs w:val="32"/>
      <w:lang w:val="el-GR" w:eastAsia="el-GR" w:bidi="ar-SA"/>
    </w:rPr>
  </w:style>
  <w:style w:type="paragraph" w:styleId="Web">
    <w:name w:val="Normal (Web)"/>
    <w:basedOn w:val="a"/>
    <w:uiPriority w:val="99"/>
    <w:rsid w:val="008B45F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45F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B45F7"/>
    <w:rPr>
      <w:rFonts w:cs="Times New Roman"/>
    </w:rPr>
  </w:style>
  <w:style w:type="paragraph" w:customStyle="1" w:styleId="PointManual">
    <w:name w:val="Point Manual"/>
    <w:basedOn w:val="a"/>
    <w:rsid w:val="008B45F7"/>
    <w:pPr>
      <w:spacing w:before="200"/>
      <w:ind w:left="567" w:hanging="567"/>
    </w:pPr>
  </w:style>
  <w:style w:type="paragraph" w:customStyle="1" w:styleId="10">
    <w:name w:val="Παράγραφος λίστας1"/>
    <w:basedOn w:val="a"/>
    <w:rsid w:val="00E213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rsid w:val="00AE21A8"/>
    <w:rPr>
      <w:color w:val="003366"/>
      <w:u w:val="single"/>
    </w:rPr>
  </w:style>
  <w:style w:type="paragraph" w:customStyle="1" w:styleId="Default">
    <w:name w:val="Default"/>
    <w:rsid w:val="00972D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2">
    <w:name w:val="Body Text 2"/>
    <w:basedOn w:val="a"/>
    <w:link w:val="2Char"/>
    <w:rsid w:val="00EF422B"/>
    <w:pPr>
      <w:spacing w:line="360" w:lineRule="auto"/>
      <w:jc w:val="both"/>
    </w:pPr>
    <w:rPr>
      <w:rFonts w:ascii="Arial" w:eastAsia="Calibri" w:hAnsi="Arial" w:cs="Arial"/>
      <w:color w:val="FF0000"/>
    </w:rPr>
  </w:style>
  <w:style w:type="character" w:customStyle="1" w:styleId="2Char">
    <w:name w:val="Σώμα κείμενου 2 Char"/>
    <w:basedOn w:val="a0"/>
    <w:link w:val="2"/>
    <w:locked/>
    <w:rsid w:val="00EF422B"/>
    <w:rPr>
      <w:rFonts w:ascii="Arial" w:eastAsia="Calibri" w:hAnsi="Arial" w:cs="Arial"/>
      <w:color w:val="FF0000"/>
      <w:sz w:val="24"/>
      <w:szCs w:val="24"/>
      <w:lang w:val="el-GR" w:eastAsia="el-GR" w:bidi="ar-SA"/>
    </w:rPr>
  </w:style>
  <w:style w:type="paragraph" w:customStyle="1" w:styleId="yiv8903445200ydp234e902eyiv9995260496msonormal">
    <w:name w:val="yiv8903445200ydp234e902eyiv9995260496msonormal"/>
    <w:basedOn w:val="a"/>
    <w:rsid w:val="00396D3C"/>
    <w:pPr>
      <w:spacing w:before="100" w:beforeAutospacing="1" w:after="100" w:afterAutospacing="1"/>
    </w:pPr>
  </w:style>
  <w:style w:type="paragraph" w:customStyle="1" w:styleId="yiv8903445200ydp234e902eyiv9995260496doc-ti">
    <w:name w:val="yiv8903445200ydp234e902eyiv9995260496doc-ti"/>
    <w:basedOn w:val="a"/>
    <w:rsid w:val="00396D3C"/>
    <w:pPr>
      <w:spacing w:before="100" w:beforeAutospacing="1" w:after="100" w:afterAutospacing="1"/>
    </w:pPr>
  </w:style>
  <w:style w:type="paragraph" w:styleId="a7">
    <w:name w:val="Body Text"/>
    <w:basedOn w:val="a"/>
    <w:rsid w:val="004B54B5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paragraph" w:customStyle="1" w:styleId="Body">
    <w:name w:val="Body"/>
    <w:rsid w:val="00F256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Char0">
    <w:name w:val="Κεφαλίδα Char"/>
    <w:basedOn w:val="a0"/>
    <w:link w:val="a5"/>
    <w:uiPriority w:val="99"/>
    <w:rsid w:val="00D30361"/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D30361"/>
    <w:rPr>
      <w:sz w:val="24"/>
      <w:szCs w:val="24"/>
    </w:rPr>
  </w:style>
  <w:style w:type="paragraph" w:styleId="a8">
    <w:name w:val="List Paragraph"/>
    <w:basedOn w:val="a"/>
    <w:uiPriority w:val="34"/>
    <w:qFormat/>
    <w:rsid w:val="0085053F"/>
    <w:pPr>
      <w:ind w:left="720"/>
      <w:contextualSpacing/>
    </w:pPr>
  </w:style>
  <w:style w:type="paragraph" w:customStyle="1" w:styleId="KYAnumber">
    <w:name w:val="KYA_number"/>
    <w:basedOn w:val="a"/>
    <w:link w:val="KYAnumberChar"/>
    <w:qFormat/>
    <w:rsid w:val="004209C2"/>
    <w:pPr>
      <w:tabs>
        <w:tab w:val="left" w:pos="426"/>
      </w:tabs>
      <w:spacing w:line="360" w:lineRule="auto"/>
      <w:jc w:val="both"/>
    </w:pPr>
    <w:rPr>
      <w:lang w:eastAsia="en-US"/>
    </w:rPr>
  </w:style>
  <w:style w:type="character" w:customStyle="1" w:styleId="KYAnumberChar">
    <w:name w:val="KYA_number Char"/>
    <w:basedOn w:val="a0"/>
    <w:link w:val="KYAnumber"/>
    <w:rsid w:val="004209C2"/>
    <w:rPr>
      <w:sz w:val="24"/>
      <w:szCs w:val="24"/>
      <w:lang w:eastAsia="en-US"/>
    </w:rPr>
  </w:style>
  <w:style w:type="character" w:styleId="a9">
    <w:name w:val="annotation reference"/>
    <w:basedOn w:val="a0"/>
    <w:semiHidden/>
    <w:unhideWhenUsed/>
    <w:rsid w:val="002A3F0A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2A3F0A"/>
    <w:rPr>
      <w:sz w:val="20"/>
      <w:szCs w:val="20"/>
    </w:rPr>
  </w:style>
  <w:style w:type="character" w:customStyle="1" w:styleId="Char1">
    <w:name w:val="Κείμενο σχολίου Char"/>
    <w:basedOn w:val="a0"/>
    <w:link w:val="aa"/>
    <w:semiHidden/>
    <w:rsid w:val="002A3F0A"/>
  </w:style>
  <w:style w:type="paragraph" w:styleId="ab">
    <w:name w:val="annotation subject"/>
    <w:basedOn w:val="aa"/>
    <w:next w:val="aa"/>
    <w:link w:val="Char2"/>
    <w:semiHidden/>
    <w:unhideWhenUsed/>
    <w:rsid w:val="002A3F0A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2A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30AF-8721-43E5-9B78-E45DF1F1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pkous</dc:creator>
  <cp:lastModifiedBy>pressoffice</cp:lastModifiedBy>
  <cp:revision>6</cp:revision>
  <dcterms:created xsi:type="dcterms:W3CDTF">2022-01-04T15:16:00Z</dcterms:created>
  <dcterms:modified xsi:type="dcterms:W3CDTF">2022-01-05T11:06:00Z</dcterms:modified>
</cp:coreProperties>
</file>