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6C899" w14:textId="5AE858E8" w:rsidR="006D2EC1" w:rsidRPr="000358D9" w:rsidRDefault="00803F94" w:rsidP="000358D9">
      <w:pPr>
        <w:tabs>
          <w:tab w:val="left" w:pos="1134"/>
          <w:tab w:val="left" w:pos="7800"/>
        </w:tabs>
        <w:spacing w:after="0"/>
        <w:ind w:right="142"/>
        <w:jc w:val="right"/>
        <w:rPr>
          <w:rFonts w:cstheme="minorHAnsi"/>
          <w:sz w:val="24"/>
          <w:szCs w:val="24"/>
        </w:rPr>
      </w:pPr>
      <w:r w:rsidRPr="000358D9">
        <w:rPr>
          <w:rFonts w:cstheme="minorHAnsi"/>
          <w:sz w:val="24"/>
          <w:szCs w:val="24"/>
        </w:rPr>
        <w:t>1</w:t>
      </w:r>
      <w:r w:rsidR="00C36E2C" w:rsidRPr="000358D9">
        <w:rPr>
          <w:rFonts w:cstheme="minorHAnsi"/>
          <w:sz w:val="24"/>
          <w:szCs w:val="24"/>
        </w:rPr>
        <w:t>9</w:t>
      </w:r>
      <w:r w:rsidR="009145DB" w:rsidRPr="000358D9">
        <w:rPr>
          <w:rFonts w:cstheme="minorHAnsi"/>
          <w:sz w:val="24"/>
          <w:szCs w:val="24"/>
        </w:rPr>
        <w:t xml:space="preserve"> Σεπτεμβρίου</w:t>
      </w:r>
      <w:r w:rsidR="00427FC4" w:rsidRPr="000358D9">
        <w:rPr>
          <w:rFonts w:cstheme="minorHAnsi"/>
          <w:sz w:val="24"/>
          <w:szCs w:val="24"/>
        </w:rPr>
        <w:t xml:space="preserve"> 2023</w:t>
      </w:r>
    </w:p>
    <w:p w14:paraId="58FD310D" w14:textId="77777777" w:rsidR="00E92547" w:rsidRPr="000358D9" w:rsidRDefault="00E92547" w:rsidP="000358D9">
      <w:pPr>
        <w:spacing w:after="0"/>
        <w:rPr>
          <w:rFonts w:cstheme="minorHAnsi"/>
          <w:b/>
          <w:bCs/>
          <w:sz w:val="24"/>
          <w:szCs w:val="24"/>
        </w:rPr>
      </w:pPr>
    </w:p>
    <w:p w14:paraId="6EA76FF3" w14:textId="77777777" w:rsidR="002140F8" w:rsidRDefault="002140F8" w:rsidP="000358D9">
      <w:pPr>
        <w:spacing w:after="0"/>
        <w:jc w:val="center"/>
        <w:rPr>
          <w:rFonts w:cstheme="minorHAnsi"/>
          <w:b/>
          <w:bCs/>
          <w:sz w:val="24"/>
          <w:szCs w:val="24"/>
        </w:rPr>
      </w:pPr>
    </w:p>
    <w:p w14:paraId="55AE640E" w14:textId="0F5FF0D9" w:rsidR="00E92547" w:rsidRPr="000358D9" w:rsidRDefault="00C36E2C" w:rsidP="000358D9">
      <w:pPr>
        <w:spacing w:after="0"/>
        <w:jc w:val="center"/>
        <w:rPr>
          <w:rFonts w:cstheme="minorHAnsi"/>
          <w:b/>
          <w:bCs/>
          <w:sz w:val="24"/>
          <w:szCs w:val="24"/>
        </w:rPr>
      </w:pPr>
      <w:r w:rsidRPr="000358D9">
        <w:rPr>
          <w:rFonts w:cstheme="minorHAnsi"/>
          <w:b/>
          <w:bCs/>
          <w:sz w:val="24"/>
          <w:szCs w:val="24"/>
        </w:rPr>
        <w:t>Κωστής Χατζηδάκης: Στήριξη των πολιτών με τήρηση της δημοσιονομικής σταθερότητας</w:t>
      </w:r>
    </w:p>
    <w:p w14:paraId="6887BB50" w14:textId="3CCD450C" w:rsidR="00C36E2C" w:rsidRPr="000358D9" w:rsidRDefault="00C36E2C" w:rsidP="000358D9">
      <w:pPr>
        <w:spacing w:after="0"/>
        <w:jc w:val="center"/>
        <w:rPr>
          <w:rFonts w:cstheme="minorHAnsi"/>
          <w:i/>
          <w:iCs/>
          <w:sz w:val="24"/>
          <w:szCs w:val="24"/>
        </w:rPr>
      </w:pPr>
      <w:r w:rsidRPr="000358D9">
        <w:rPr>
          <w:rFonts w:cstheme="minorHAnsi"/>
          <w:i/>
          <w:iCs/>
          <w:sz w:val="24"/>
          <w:szCs w:val="24"/>
        </w:rPr>
        <w:t>Η εξειδίκευση των μέτρων της ΔΕΘ από το οικονομικό επιτελείο</w:t>
      </w:r>
    </w:p>
    <w:p w14:paraId="73D2CFF6" w14:textId="77777777" w:rsidR="00C36E2C" w:rsidRPr="000358D9" w:rsidRDefault="00C36E2C" w:rsidP="000358D9">
      <w:pPr>
        <w:spacing w:after="0"/>
        <w:jc w:val="center"/>
        <w:rPr>
          <w:rFonts w:cstheme="minorHAnsi"/>
          <w:sz w:val="24"/>
          <w:szCs w:val="24"/>
        </w:rPr>
      </w:pPr>
    </w:p>
    <w:p w14:paraId="14DDDB1F" w14:textId="77777777" w:rsidR="002140F8" w:rsidRDefault="002140F8" w:rsidP="000358D9">
      <w:pPr>
        <w:spacing w:after="0"/>
        <w:jc w:val="both"/>
        <w:rPr>
          <w:rFonts w:cstheme="minorHAnsi"/>
          <w:sz w:val="24"/>
          <w:szCs w:val="24"/>
        </w:rPr>
      </w:pPr>
    </w:p>
    <w:p w14:paraId="14D375EE" w14:textId="77777777" w:rsidR="002140F8" w:rsidRDefault="002140F8" w:rsidP="000358D9">
      <w:pPr>
        <w:spacing w:after="0"/>
        <w:jc w:val="both"/>
        <w:rPr>
          <w:rFonts w:cstheme="minorHAnsi"/>
          <w:sz w:val="24"/>
          <w:szCs w:val="24"/>
        </w:rPr>
      </w:pPr>
    </w:p>
    <w:p w14:paraId="48070538" w14:textId="1E2BE3EB" w:rsidR="0017447C" w:rsidRDefault="00AB45BF" w:rsidP="000358D9">
      <w:pPr>
        <w:spacing w:after="0"/>
        <w:jc w:val="both"/>
        <w:rPr>
          <w:rFonts w:cstheme="minorHAnsi"/>
          <w:sz w:val="24"/>
          <w:szCs w:val="24"/>
        </w:rPr>
      </w:pPr>
      <w:r w:rsidRPr="000358D9">
        <w:rPr>
          <w:rFonts w:cstheme="minorHAnsi"/>
          <w:sz w:val="24"/>
          <w:szCs w:val="24"/>
        </w:rPr>
        <w:t>Από τ</w:t>
      </w:r>
      <w:r w:rsidR="002F73DF" w:rsidRPr="000358D9">
        <w:rPr>
          <w:rFonts w:cstheme="minorHAnsi"/>
          <w:sz w:val="24"/>
          <w:szCs w:val="24"/>
        </w:rPr>
        <w:t xml:space="preserve">ο </w:t>
      </w:r>
      <w:r w:rsidRPr="000358D9">
        <w:rPr>
          <w:rFonts w:cstheme="minorHAnsi"/>
          <w:sz w:val="24"/>
          <w:szCs w:val="24"/>
        </w:rPr>
        <w:t>Γραφε</w:t>
      </w:r>
      <w:r w:rsidR="003E7044" w:rsidRPr="000358D9">
        <w:rPr>
          <w:rFonts w:cstheme="minorHAnsi"/>
          <w:sz w:val="24"/>
          <w:szCs w:val="24"/>
        </w:rPr>
        <w:t>ί</w:t>
      </w:r>
      <w:r w:rsidR="002F73DF" w:rsidRPr="000358D9">
        <w:rPr>
          <w:rFonts w:cstheme="minorHAnsi"/>
          <w:sz w:val="24"/>
          <w:szCs w:val="24"/>
        </w:rPr>
        <w:t>ο</w:t>
      </w:r>
      <w:r w:rsidRPr="000358D9">
        <w:rPr>
          <w:rFonts w:cstheme="minorHAnsi"/>
          <w:sz w:val="24"/>
          <w:szCs w:val="24"/>
        </w:rPr>
        <w:t xml:space="preserve"> Τύπου τ</w:t>
      </w:r>
      <w:r w:rsidR="002F73DF" w:rsidRPr="000358D9">
        <w:rPr>
          <w:rFonts w:cstheme="minorHAnsi"/>
          <w:sz w:val="24"/>
          <w:szCs w:val="24"/>
        </w:rPr>
        <w:t>ου</w:t>
      </w:r>
      <w:r w:rsidRPr="000358D9">
        <w:rPr>
          <w:rFonts w:cstheme="minorHAnsi"/>
          <w:sz w:val="24"/>
          <w:szCs w:val="24"/>
        </w:rPr>
        <w:t xml:space="preserve"> Υπουργεί</w:t>
      </w:r>
      <w:r w:rsidR="002F73DF" w:rsidRPr="000358D9">
        <w:rPr>
          <w:rFonts w:cstheme="minorHAnsi"/>
          <w:sz w:val="24"/>
          <w:szCs w:val="24"/>
        </w:rPr>
        <w:t>ου</w:t>
      </w:r>
      <w:r w:rsidRPr="000358D9">
        <w:rPr>
          <w:rFonts w:cstheme="minorHAnsi"/>
          <w:sz w:val="24"/>
          <w:szCs w:val="24"/>
        </w:rPr>
        <w:t xml:space="preserve"> Εθνικής Οικονομίας και Οικονομικών</w:t>
      </w:r>
      <w:r w:rsidR="002F73DF" w:rsidRPr="000358D9">
        <w:rPr>
          <w:rFonts w:cstheme="minorHAnsi"/>
          <w:sz w:val="24"/>
          <w:szCs w:val="24"/>
        </w:rPr>
        <w:t xml:space="preserve"> </w:t>
      </w:r>
      <w:r w:rsidRPr="000358D9">
        <w:rPr>
          <w:rFonts w:cstheme="minorHAnsi"/>
          <w:sz w:val="24"/>
          <w:szCs w:val="24"/>
        </w:rPr>
        <w:t>εκδόθηκε η ακόλουθη ανακοίνωση:</w:t>
      </w:r>
    </w:p>
    <w:p w14:paraId="12B8DDC8" w14:textId="77777777" w:rsidR="000358D9" w:rsidRPr="000358D9" w:rsidRDefault="000358D9" w:rsidP="000358D9">
      <w:pPr>
        <w:spacing w:after="0"/>
        <w:jc w:val="both"/>
        <w:rPr>
          <w:rFonts w:cstheme="minorHAnsi"/>
          <w:sz w:val="24"/>
          <w:szCs w:val="24"/>
        </w:rPr>
      </w:pPr>
    </w:p>
    <w:p w14:paraId="04542AAD" w14:textId="0D115FC0" w:rsidR="000358D9" w:rsidRDefault="000358D9" w:rsidP="000358D9">
      <w:pPr>
        <w:spacing w:after="0"/>
        <w:jc w:val="both"/>
        <w:rPr>
          <w:rFonts w:cstheme="minorHAnsi"/>
          <w:sz w:val="24"/>
          <w:szCs w:val="24"/>
        </w:rPr>
      </w:pPr>
      <w:r w:rsidRPr="000358D9">
        <w:rPr>
          <w:rFonts w:cstheme="minorHAnsi"/>
          <w:sz w:val="24"/>
          <w:szCs w:val="24"/>
        </w:rPr>
        <w:t xml:space="preserve">Ο </w:t>
      </w:r>
      <w:r>
        <w:rPr>
          <w:rFonts w:cstheme="minorHAnsi"/>
          <w:sz w:val="24"/>
          <w:szCs w:val="24"/>
        </w:rPr>
        <w:t>Υ</w:t>
      </w:r>
      <w:r w:rsidRPr="000358D9">
        <w:rPr>
          <w:rFonts w:cstheme="minorHAnsi"/>
          <w:sz w:val="24"/>
          <w:szCs w:val="24"/>
        </w:rPr>
        <w:t>πουργός Εθνικής Οικονομίας και Οικονομικών</w:t>
      </w:r>
      <w:r>
        <w:rPr>
          <w:rFonts w:cstheme="minorHAnsi"/>
          <w:sz w:val="24"/>
          <w:szCs w:val="24"/>
        </w:rPr>
        <w:t>,</w:t>
      </w:r>
      <w:r w:rsidRPr="000358D9">
        <w:rPr>
          <w:rFonts w:cstheme="minorHAnsi"/>
          <w:sz w:val="24"/>
          <w:szCs w:val="24"/>
        </w:rPr>
        <w:t xml:space="preserve"> </w:t>
      </w:r>
      <w:r w:rsidRPr="000358D9">
        <w:rPr>
          <w:rFonts w:cstheme="minorHAnsi"/>
          <w:b/>
          <w:sz w:val="24"/>
          <w:szCs w:val="24"/>
        </w:rPr>
        <w:t>Κωστής Χατζηδάκης</w:t>
      </w:r>
      <w:r w:rsidRPr="000358D9">
        <w:rPr>
          <w:rFonts w:cstheme="minorHAnsi"/>
          <w:sz w:val="24"/>
          <w:szCs w:val="24"/>
        </w:rPr>
        <w:t xml:space="preserve">, οι </w:t>
      </w:r>
      <w:r>
        <w:rPr>
          <w:rFonts w:cstheme="minorHAnsi"/>
          <w:sz w:val="24"/>
          <w:szCs w:val="24"/>
        </w:rPr>
        <w:t>Υ</w:t>
      </w:r>
      <w:r w:rsidRPr="000358D9">
        <w:rPr>
          <w:rFonts w:cstheme="minorHAnsi"/>
          <w:sz w:val="24"/>
          <w:szCs w:val="24"/>
        </w:rPr>
        <w:t xml:space="preserve">φυπουργοί </w:t>
      </w:r>
      <w:r w:rsidRPr="000358D9">
        <w:rPr>
          <w:rFonts w:cstheme="minorHAnsi"/>
          <w:b/>
          <w:sz w:val="24"/>
          <w:szCs w:val="24"/>
        </w:rPr>
        <w:t>Χάρης Θεοχάρης</w:t>
      </w:r>
      <w:r w:rsidRPr="000358D9">
        <w:rPr>
          <w:rFonts w:cstheme="minorHAnsi"/>
          <w:sz w:val="24"/>
          <w:szCs w:val="24"/>
        </w:rPr>
        <w:t xml:space="preserve"> και </w:t>
      </w:r>
      <w:r w:rsidRPr="000358D9">
        <w:rPr>
          <w:rFonts w:cstheme="minorHAnsi"/>
          <w:b/>
          <w:sz w:val="24"/>
          <w:szCs w:val="24"/>
        </w:rPr>
        <w:t xml:space="preserve">Θάνος Πετραλιάς και ο Διοικητής της </w:t>
      </w:r>
      <w:proofErr w:type="spellStart"/>
      <w:r w:rsidRPr="000358D9">
        <w:rPr>
          <w:rFonts w:cstheme="minorHAnsi"/>
          <w:b/>
          <w:sz w:val="24"/>
          <w:szCs w:val="24"/>
        </w:rPr>
        <w:t>ΑΑΔΕ</w:t>
      </w:r>
      <w:proofErr w:type="spellEnd"/>
      <w:r w:rsidRPr="000358D9">
        <w:rPr>
          <w:rFonts w:cstheme="minorHAnsi"/>
          <w:b/>
          <w:sz w:val="24"/>
          <w:szCs w:val="24"/>
        </w:rPr>
        <w:t xml:space="preserve"> Γιώργος </w:t>
      </w:r>
      <w:proofErr w:type="spellStart"/>
      <w:r w:rsidRPr="000358D9">
        <w:rPr>
          <w:rFonts w:cstheme="minorHAnsi"/>
          <w:b/>
          <w:sz w:val="24"/>
          <w:szCs w:val="24"/>
        </w:rPr>
        <w:t>Πιτσιλής</w:t>
      </w:r>
      <w:proofErr w:type="spellEnd"/>
      <w:r w:rsidRPr="000358D9">
        <w:rPr>
          <w:rFonts w:cstheme="minorHAnsi"/>
          <w:b/>
          <w:sz w:val="24"/>
          <w:szCs w:val="24"/>
        </w:rPr>
        <w:t>,</w:t>
      </w:r>
      <w:r w:rsidRPr="000358D9">
        <w:rPr>
          <w:rFonts w:cstheme="minorHAnsi"/>
          <w:sz w:val="24"/>
          <w:szCs w:val="24"/>
        </w:rPr>
        <w:t xml:space="preserve"> προχώρησαν σήμερα σε εξειδίκευση του πλαισίου της οικονομικής και φορολογικής πολιτικής που παρουσίασε ο πρωθυπουργός κ. </w:t>
      </w:r>
      <w:r w:rsidRPr="000358D9">
        <w:rPr>
          <w:rFonts w:cstheme="minorHAnsi"/>
          <w:b/>
          <w:sz w:val="24"/>
          <w:szCs w:val="24"/>
        </w:rPr>
        <w:t>Κυριάκος Μητσοτάκης</w:t>
      </w:r>
      <w:r w:rsidRPr="000358D9">
        <w:rPr>
          <w:rFonts w:cstheme="minorHAnsi"/>
          <w:sz w:val="24"/>
          <w:szCs w:val="24"/>
        </w:rPr>
        <w:t xml:space="preserve"> στο πλαίσιο της 87</w:t>
      </w:r>
      <w:r w:rsidRPr="000358D9">
        <w:rPr>
          <w:rFonts w:cstheme="minorHAnsi"/>
          <w:sz w:val="24"/>
          <w:szCs w:val="24"/>
          <w:vertAlign w:val="superscript"/>
        </w:rPr>
        <w:t>ης</w:t>
      </w:r>
      <w:r w:rsidRPr="000358D9">
        <w:rPr>
          <w:rFonts w:cstheme="minorHAnsi"/>
          <w:sz w:val="24"/>
          <w:szCs w:val="24"/>
        </w:rPr>
        <w:t xml:space="preserve"> ΔΕΘ.</w:t>
      </w:r>
    </w:p>
    <w:p w14:paraId="63236B98" w14:textId="77777777" w:rsidR="000358D9" w:rsidRDefault="000358D9" w:rsidP="000358D9">
      <w:pPr>
        <w:spacing w:after="0"/>
        <w:jc w:val="both"/>
        <w:rPr>
          <w:rFonts w:cstheme="minorHAnsi"/>
          <w:sz w:val="24"/>
          <w:szCs w:val="24"/>
        </w:rPr>
      </w:pPr>
    </w:p>
    <w:p w14:paraId="525F3A75" w14:textId="632AE107" w:rsidR="000358D9" w:rsidRDefault="000358D9" w:rsidP="000358D9">
      <w:pPr>
        <w:spacing w:after="0"/>
        <w:jc w:val="both"/>
        <w:rPr>
          <w:rFonts w:cstheme="minorHAnsi"/>
          <w:sz w:val="24"/>
          <w:szCs w:val="24"/>
        </w:rPr>
      </w:pPr>
      <w:r w:rsidRPr="000358D9">
        <w:rPr>
          <w:rFonts w:cstheme="minorHAnsi"/>
          <w:sz w:val="24"/>
          <w:szCs w:val="24"/>
        </w:rPr>
        <w:t xml:space="preserve">Κατά την εισαγωγική του τοποθέτηση </w:t>
      </w:r>
      <w:r w:rsidRPr="000358D9">
        <w:rPr>
          <w:rFonts w:cstheme="minorHAnsi"/>
          <w:b/>
          <w:bCs/>
          <w:sz w:val="24"/>
          <w:szCs w:val="24"/>
        </w:rPr>
        <w:t>ο Υπουργός Εθνικής Οικονομίας και Οικονομικών</w:t>
      </w:r>
      <w:r>
        <w:rPr>
          <w:rFonts w:cstheme="minorHAnsi"/>
          <w:b/>
          <w:bCs/>
          <w:sz w:val="24"/>
          <w:szCs w:val="24"/>
        </w:rPr>
        <w:t>,</w:t>
      </w:r>
      <w:r w:rsidRPr="000358D9">
        <w:rPr>
          <w:rFonts w:cstheme="minorHAnsi"/>
          <w:sz w:val="24"/>
          <w:szCs w:val="24"/>
        </w:rPr>
        <w:t xml:space="preserve"> </w:t>
      </w:r>
      <w:r w:rsidRPr="000358D9">
        <w:rPr>
          <w:rFonts w:cstheme="minorHAnsi"/>
          <w:b/>
          <w:sz w:val="24"/>
          <w:szCs w:val="24"/>
        </w:rPr>
        <w:t>Κωστής Χατζηδάκης</w:t>
      </w:r>
      <w:r>
        <w:rPr>
          <w:rFonts w:cstheme="minorHAnsi"/>
          <w:b/>
          <w:sz w:val="24"/>
          <w:szCs w:val="24"/>
        </w:rPr>
        <w:t>,</w:t>
      </w:r>
      <w:r w:rsidRPr="000358D9">
        <w:rPr>
          <w:rFonts w:cstheme="minorHAnsi"/>
          <w:sz w:val="24"/>
          <w:szCs w:val="24"/>
        </w:rPr>
        <w:t xml:space="preserve"> τόνισε: «</w:t>
      </w:r>
      <w:r w:rsidRPr="000358D9">
        <w:rPr>
          <w:rFonts w:cstheme="minorHAnsi"/>
          <w:i/>
          <w:iCs/>
          <w:sz w:val="24"/>
          <w:szCs w:val="24"/>
        </w:rPr>
        <w:t>Η κυβέρνηση υλοποιεί πρωτοβουλίες που αφορούν την περαιτέρω στήριξη των πολιτών. Πρωτοβουλίες  με χρώμα κοινωνικής δικαιοσύνης όπως η αντιμετώπιση της φοροδιαφυγής. Προχωρούμε παράλληλα σε αποφάσεις που σχετίζονται με τις φυσικές καταστροφές και τις συνέπειές τους. Πάνω από όλα όμως δίνουμε στους πολίτες αυτά που έχουμε και όχι αυτά που δεν έχουμε, μένοντας πιστοί στη βασική μας γραμμή για δημοσιονομική σταθερότητα και σοβαρότητα</w:t>
      </w:r>
      <w:r w:rsidRPr="000358D9">
        <w:rPr>
          <w:rFonts w:cstheme="minorHAnsi"/>
          <w:sz w:val="24"/>
          <w:szCs w:val="24"/>
        </w:rPr>
        <w:t>».</w:t>
      </w:r>
    </w:p>
    <w:p w14:paraId="7FEC0834" w14:textId="77777777" w:rsidR="000358D9" w:rsidRPr="000358D9" w:rsidRDefault="000358D9" w:rsidP="000358D9">
      <w:pPr>
        <w:spacing w:after="0"/>
        <w:jc w:val="both"/>
        <w:rPr>
          <w:rFonts w:cstheme="minorHAnsi"/>
          <w:sz w:val="24"/>
          <w:szCs w:val="24"/>
        </w:rPr>
      </w:pPr>
    </w:p>
    <w:p w14:paraId="54156B32" w14:textId="63391697" w:rsidR="000358D9" w:rsidRPr="000358D9" w:rsidRDefault="000358D9" w:rsidP="000358D9">
      <w:pPr>
        <w:shd w:val="clear" w:color="auto" w:fill="FFFFFF"/>
        <w:spacing w:after="0"/>
        <w:jc w:val="both"/>
        <w:rPr>
          <w:rFonts w:eastAsia="Times New Roman" w:cstheme="minorHAnsi"/>
          <w:color w:val="1D2228"/>
          <w:sz w:val="24"/>
          <w:szCs w:val="24"/>
          <w:lang w:eastAsia="el-GR"/>
        </w:rPr>
      </w:pPr>
      <w:r w:rsidRPr="000358D9">
        <w:rPr>
          <w:rFonts w:cstheme="minorHAnsi"/>
          <w:sz w:val="24"/>
          <w:szCs w:val="24"/>
        </w:rPr>
        <w:t xml:space="preserve">Ο </w:t>
      </w:r>
      <w:r w:rsidRPr="000358D9">
        <w:rPr>
          <w:rFonts w:cstheme="minorHAnsi"/>
          <w:b/>
          <w:bCs/>
          <w:sz w:val="24"/>
          <w:szCs w:val="24"/>
        </w:rPr>
        <w:t>Υφυπουργός Εθνικής Οικονομίας και Οικονομικών αρμόδιος για την Φορολογική Πολιτική</w:t>
      </w:r>
      <w:r>
        <w:rPr>
          <w:rFonts w:cstheme="minorHAnsi"/>
          <w:b/>
          <w:bCs/>
          <w:sz w:val="24"/>
          <w:szCs w:val="24"/>
        </w:rPr>
        <w:t>,</w:t>
      </w:r>
      <w:r w:rsidRPr="000358D9">
        <w:rPr>
          <w:rFonts w:cstheme="minorHAnsi"/>
          <w:sz w:val="24"/>
          <w:szCs w:val="24"/>
        </w:rPr>
        <w:t xml:space="preserve"> </w:t>
      </w:r>
      <w:r w:rsidRPr="000358D9">
        <w:rPr>
          <w:rFonts w:cstheme="minorHAnsi"/>
          <w:b/>
          <w:sz w:val="24"/>
          <w:szCs w:val="24"/>
        </w:rPr>
        <w:t>Χάρης Θεοχάρης</w:t>
      </w:r>
      <w:r>
        <w:rPr>
          <w:rFonts w:cstheme="minorHAnsi"/>
          <w:b/>
          <w:sz w:val="24"/>
          <w:szCs w:val="24"/>
        </w:rPr>
        <w:t>,</w:t>
      </w:r>
      <w:r w:rsidRPr="000358D9">
        <w:rPr>
          <w:rFonts w:cstheme="minorHAnsi"/>
          <w:sz w:val="24"/>
          <w:szCs w:val="24"/>
        </w:rPr>
        <w:t xml:space="preserve"> δήλωσε: «</w:t>
      </w:r>
      <w:r w:rsidRPr="000358D9">
        <w:rPr>
          <w:rFonts w:eastAsia="Times New Roman" w:cstheme="minorHAnsi"/>
          <w:i/>
          <w:iCs/>
          <w:color w:val="1D2228"/>
          <w:sz w:val="24"/>
          <w:szCs w:val="24"/>
          <w:lang w:eastAsia="el-GR"/>
        </w:rPr>
        <w:t xml:space="preserve">Το πλέγμα των μέτρων που εξήγγειλε στη ΔΕΘ ο Πρωθυπουργός, Κυριάκος Μητσοτάκης αποτελεί έμπρακτη απόδειξη ότι η κυβέρνηση της Νέας Δημοκρατίας είναι αποφασισμένη να προχωρήσει σε ουσιαστικές και βαθιές τομές. Ειδικά σε ό,τι αφορά στη φορολογική πολιτική, έχει σχεδιαστεί ένα εκτενές πρόγραμμα μεταρρυθμίσεων. Μέτρα όπως η υποχρεωτική διασύνδεση των </w:t>
      </w:r>
      <w:proofErr w:type="spellStart"/>
      <w:r w:rsidRPr="000358D9">
        <w:rPr>
          <w:rFonts w:eastAsia="Times New Roman" w:cstheme="minorHAnsi"/>
          <w:i/>
          <w:iCs/>
          <w:color w:val="1D2228"/>
          <w:sz w:val="24"/>
          <w:szCs w:val="24"/>
          <w:lang w:eastAsia="el-GR"/>
        </w:rPr>
        <w:t>POS</w:t>
      </w:r>
      <w:proofErr w:type="spellEnd"/>
      <w:r w:rsidRPr="000358D9">
        <w:rPr>
          <w:rFonts w:eastAsia="Times New Roman" w:cstheme="minorHAnsi"/>
          <w:i/>
          <w:iCs/>
          <w:color w:val="1D2228"/>
          <w:sz w:val="24"/>
          <w:szCs w:val="24"/>
          <w:lang w:eastAsia="el-GR"/>
        </w:rPr>
        <w:t xml:space="preserve"> με τις ταμειακές μηχανές σε 450.000 επιχειρήσεις έως την άνοιξη του 2024, η επέκταση των ηλεκτρονικών πληρωμών σε όλη τη λιανική αγορά, η καθιέρωση των ψηφιακών τιμολογίων και των ηλεκτρονικών βιβλίων, καθώς και το ψηφιακό δελτίο αποστολής αποτελούν μέρος ενός προγράμματος επεξεργασμένου και άμεσα εφαρμόσιμου. Επιταχύνουμε  τις μεταρρυθμίσεις, υπηρετούμε το δίκαιο -παντού είναι ο πυλώνας της πολιτικής μας». Μέχρι τώρα η πολιτεία φρόντιζε για την ελάφρυνση των πολιτών από φόρους -«λιγότεροι φόροι» λέγαμε την πρώτη </w:t>
      </w:r>
      <w:r w:rsidRPr="000358D9">
        <w:rPr>
          <w:rFonts w:eastAsia="Times New Roman" w:cstheme="minorHAnsi"/>
          <w:i/>
          <w:iCs/>
          <w:color w:val="1D2228"/>
          <w:sz w:val="24"/>
          <w:szCs w:val="24"/>
          <w:lang w:eastAsia="el-GR"/>
        </w:rPr>
        <w:lastRenderedPageBreak/>
        <w:t>τετραετία, το κάναμε πράξη-, τώρα στη δεύτερη τετραετία πρέπει να κερδίσουμε τον πόλεμο κατά της φοροδιαφυγής  για να έχουμε δικαιότερη κατανομή των φόρων</w:t>
      </w:r>
      <w:r>
        <w:rPr>
          <w:rFonts w:eastAsia="Times New Roman" w:cstheme="minorHAnsi"/>
          <w:color w:val="1D2228"/>
          <w:sz w:val="24"/>
          <w:szCs w:val="24"/>
          <w:lang w:eastAsia="el-GR"/>
        </w:rPr>
        <w:t>»</w:t>
      </w:r>
      <w:r w:rsidRPr="000358D9">
        <w:rPr>
          <w:rFonts w:eastAsia="Times New Roman" w:cstheme="minorHAnsi"/>
          <w:color w:val="1D2228"/>
          <w:sz w:val="24"/>
          <w:szCs w:val="24"/>
          <w:lang w:eastAsia="el-GR"/>
        </w:rPr>
        <w:t>.</w:t>
      </w:r>
    </w:p>
    <w:p w14:paraId="54BE4337" w14:textId="77777777" w:rsidR="000358D9" w:rsidRPr="000358D9" w:rsidRDefault="000358D9" w:rsidP="000358D9">
      <w:pPr>
        <w:spacing w:after="0"/>
        <w:jc w:val="both"/>
        <w:rPr>
          <w:rFonts w:cstheme="minorHAnsi"/>
          <w:sz w:val="24"/>
          <w:szCs w:val="24"/>
          <w:highlight w:val="yellow"/>
        </w:rPr>
      </w:pPr>
    </w:p>
    <w:p w14:paraId="22257DF5" w14:textId="77777777" w:rsidR="000358D9" w:rsidRPr="000358D9" w:rsidRDefault="000358D9" w:rsidP="000358D9">
      <w:pPr>
        <w:spacing w:after="0"/>
        <w:jc w:val="both"/>
        <w:rPr>
          <w:rFonts w:cstheme="minorHAnsi"/>
          <w:sz w:val="24"/>
          <w:szCs w:val="24"/>
          <w:highlight w:val="yellow"/>
        </w:rPr>
      </w:pPr>
    </w:p>
    <w:p w14:paraId="135DE5D7" w14:textId="2382B7D0" w:rsidR="000358D9" w:rsidRPr="000358D9" w:rsidRDefault="000358D9" w:rsidP="000358D9">
      <w:pPr>
        <w:spacing w:after="0"/>
        <w:jc w:val="both"/>
        <w:rPr>
          <w:rFonts w:cstheme="minorHAnsi"/>
          <w:color w:val="1D2228"/>
          <w:sz w:val="24"/>
          <w:szCs w:val="24"/>
          <w:shd w:val="clear" w:color="auto" w:fill="FFFFFF"/>
        </w:rPr>
      </w:pPr>
      <w:r w:rsidRPr="00DF2C0E">
        <w:rPr>
          <w:rStyle w:val="yiv5137531300bumpedfont15"/>
          <w:rFonts w:cstheme="minorHAnsi"/>
          <w:b/>
          <w:bCs/>
          <w:color w:val="1D2228"/>
          <w:sz w:val="24"/>
          <w:szCs w:val="24"/>
          <w:shd w:val="clear" w:color="auto" w:fill="FFFFFF"/>
        </w:rPr>
        <w:t>O Υφυπουργός Εθνικής Οικονομίας και Οικονομικών αρμόδιος για την Δημοσιονομική Πολιτική</w:t>
      </w:r>
      <w:r w:rsidR="00DF2C0E">
        <w:rPr>
          <w:rStyle w:val="yiv5137531300bumpedfont15"/>
          <w:rFonts w:cstheme="minorHAnsi"/>
          <w:b/>
          <w:bCs/>
          <w:color w:val="1D2228"/>
          <w:sz w:val="24"/>
          <w:szCs w:val="24"/>
          <w:shd w:val="clear" w:color="auto" w:fill="FFFFFF"/>
        </w:rPr>
        <w:t>,</w:t>
      </w:r>
      <w:r w:rsidRPr="000358D9">
        <w:rPr>
          <w:rStyle w:val="yiv5137531300bumpedfont15"/>
          <w:rFonts w:cstheme="minorHAnsi"/>
          <w:color w:val="1D2228"/>
          <w:sz w:val="24"/>
          <w:szCs w:val="24"/>
          <w:shd w:val="clear" w:color="auto" w:fill="FFFFFF"/>
        </w:rPr>
        <w:t xml:space="preserve"> </w:t>
      </w:r>
      <w:r w:rsidRPr="000358D9">
        <w:rPr>
          <w:rStyle w:val="yiv5137531300bumpedfont15"/>
          <w:rFonts w:cstheme="minorHAnsi"/>
          <w:b/>
          <w:color w:val="1D2228"/>
          <w:sz w:val="24"/>
          <w:szCs w:val="24"/>
          <w:shd w:val="clear" w:color="auto" w:fill="FFFFFF"/>
        </w:rPr>
        <w:t>Θάνος Πετραλιάς</w:t>
      </w:r>
      <w:r w:rsidR="00DF2C0E">
        <w:rPr>
          <w:rStyle w:val="yiv5137531300bumpedfont15"/>
          <w:rFonts w:cstheme="minorHAnsi"/>
          <w:b/>
          <w:color w:val="1D2228"/>
          <w:sz w:val="24"/>
          <w:szCs w:val="24"/>
          <w:shd w:val="clear" w:color="auto" w:fill="FFFFFF"/>
        </w:rPr>
        <w:t>,</w:t>
      </w:r>
      <w:r w:rsidRPr="000358D9">
        <w:rPr>
          <w:rStyle w:val="yiv5137531300bumpedfont15"/>
          <w:rFonts w:cstheme="minorHAnsi"/>
          <w:color w:val="1D2228"/>
          <w:sz w:val="24"/>
          <w:szCs w:val="24"/>
          <w:shd w:val="clear" w:color="auto" w:fill="FFFFFF"/>
        </w:rPr>
        <w:t> δήλωσε: «Σε αυτή τη δύσκολη συγκυρία που καλείται να αντιμετωπίσει ο τόπος, η Ελληνική Οικονομία αποδεικνύεται ανθεκτική. Κάτι που αποτυπώνεται τόσο στις πρόσφατες πιστοληπτικές αναβαθμίσεις, όσο και στη δυνατότητά της να ανταπεξέρχεται στις οικονομικές συνέπειες μιας τόσο μεγάλης σε έκταση καταστροφής, χωρίς να παρεκκλίνει από τους βασικούς δημοσιονομικούς στόχους. Σε αυτά τα πλαίσια, σημαντικό ρόλο έχει και η ευελιξία που παρέχει η Ευρωπαϊκή Επιτροπή στην αποτελεσματική χρήση των χρηματοδοτικών εργαλείων. Παράλληλα, το πρόγραμμα για το οποίο εξέλεξαν την Κυβέρνηση οι πολίτες συνεχίζει να υλοποιείται απαρέγκλιτα και μάλιστα υλοποιώντας τώρα τις Μεγάλες Αλλαγές που έχει ανάγκη η χώρα. Αλλαγές στο πεδίο της φοροδιαφυγής, στη θωράκιση της χώρας έναντι των οικονομικών συνεπειών της κλιματικής αλλαγής, αλλά και στο βασικό πρόσταγμα της κοινωνίας για αύξηση των μισθών και του διαθέσιμου εισοδήματος».</w:t>
      </w:r>
    </w:p>
    <w:p w14:paraId="6B3F077F" w14:textId="77777777" w:rsidR="00DF2C0E" w:rsidRDefault="00DF2C0E" w:rsidP="000358D9">
      <w:pPr>
        <w:spacing w:after="0"/>
        <w:jc w:val="both"/>
        <w:rPr>
          <w:rFonts w:cstheme="minorHAnsi"/>
          <w:sz w:val="24"/>
          <w:szCs w:val="24"/>
        </w:rPr>
      </w:pPr>
    </w:p>
    <w:p w14:paraId="144727AC" w14:textId="68D26A25" w:rsidR="000358D9" w:rsidRPr="000358D9" w:rsidRDefault="000358D9" w:rsidP="000358D9">
      <w:pPr>
        <w:spacing w:after="0"/>
        <w:jc w:val="both"/>
        <w:rPr>
          <w:rFonts w:cstheme="minorHAnsi"/>
          <w:sz w:val="24"/>
          <w:szCs w:val="24"/>
        </w:rPr>
      </w:pPr>
      <w:r w:rsidRPr="000358D9">
        <w:rPr>
          <w:rFonts w:cstheme="minorHAnsi"/>
          <w:sz w:val="24"/>
          <w:szCs w:val="24"/>
        </w:rPr>
        <w:t>Οι μεταρρυθμίσεις διαρθρώνονται σε τέσσερις άξονες:</w:t>
      </w:r>
    </w:p>
    <w:p w14:paraId="2BF62964" w14:textId="77777777" w:rsidR="00DF2C0E" w:rsidRDefault="00DF2C0E" w:rsidP="000358D9">
      <w:pPr>
        <w:spacing w:after="0"/>
        <w:jc w:val="both"/>
        <w:rPr>
          <w:rFonts w:cstheme="minorHAnsi"/>
          <w:sz w:val="24"/>
          <w:szCs w:val="24"/>
        </w:rPr>
      </w:pPr>
    </w:p>
    <w:p w14:paraId="08C9BEAA" w14:textId="6C0F8F37" w:rsidR="000358D9" w:rsidRPr="000358D9" w:rsidRDefault="000358D9" w:rsidP="000358D9">
      <w:pPr>
        <w:spacing w:after="0"/>
        <w:jc w:val="both"/>
        <w:rPr>
          <w:rFonts w:cstheme="minorHAnsi"/>
          <w:sz w:val="24"/>
          <w:szCs w:val="24"/>
        </w:rPr>
      </w:pPr>
      <w:r w:rsidRPr="000358D9">
        <w:rPr>
          <w:rFonts w:cstheme="minorHAnsi"/>
          <w:sz w:val="24"/>
          <w:szCs w:val="24"/>
        </w:rPr>
        <w:t xml:space="preserve">Α. </w:t>
      </w:r>
      <w:r w:rsidRPr="000358D9">
        <w:rPr>
          <w:rFonts w:cstheme="minorHAnsi"/>
          <w:b/>
          <w:sz w:val="24"/>
          <w:szCs w:val="24"/>
        </w:rPr>
        <w:t>Τραπεζικός τομέας</w:t>
      </w:r>
      <w:r w:rsidRPr="000358D9">
        <w:rPr>
          <w:rFonts w:cstheme="minorHAnsi"/>
          <w:sz w:val="24"/>
          <w:szCs w:val="24"/>
        </w:rPr>
        <w:t>.</w:t>
      </w:r>
    </w:p>
    <w:p w14:paraId="3EA436AE" w14:textId="77777777" w:rsidR="000358D9" w:rsidRPr="000358D9" w:rsidRDefault="000358D9" w:rsidP="000358D9">
      <w:pPr>
        <w:spacing w:after="0"/>
        <w:jc w:val="both"/>
        <w:rPr>
          <w:rFonts w:cstheme="minorHAnsi"/>
          <w:sz w:val="24"/>
          <w:szCs w:val="24"/>
        </w:rPr>
      </w:pPr>
      <w:r w:rsidRPr="000358D9">
        <w:rPr>
          <w:rFonts w:cstheme="minorHAnsi"/>
          <w:sz w:val="24"/>
          <w:szCs w:val="24"/>
        </w:rPr>
        <w:t xml:space="preserve">Β. </w:t>
      </w:r>
      <w:r w:rsidRPr="000358D9">
        <w:rPr>
          <w:rFonts w:cstheme="minorHAnsi"/>
          <w:b/>
          <w:sz w:val="24"/>
          <w:szCs w:val="24"/>
        </w:rPr>
        <w:t>Αντιμετώπιση της</w:t>
      </w:r>
      <w:r w:rsidRPr="000358D9">
        <w:rPr>
          <w:rFonts w:cstheme="minorHAnsi"/>
          <w:sz w:val="24"/>
          <w:szCs w:val="24"/>
        </w:rPr>
        <w:t xml:space="preserve"> </w:t>
      </w:r>
      <w:r w:rsidRPr="000358D9">
        <w:rPr>
          <w:rFonts w:cstheme="minorHAnsi"/>
          <w:b/>
          <w:sz w:val="24"/>
          <w:szCs w:val="24"/>
        </w:rPr>
        <w:t>φοροδιαφυγής</w:t>
      </w:r>
    </w:p>
    <w:p w14:paraId="3CD29085" w14:textId="77777777" w:rsidR="000358D9" w:rsidRPr="000358D9" w:rsidRDefault="000358D9" w:rsidP="000358D9">
      <w:pPr>
        <w:spacing w:after="0"/>
        <w:jc w:val="both"/>
        <w:rPr>
          <w:rFonts w:cstheme="minorHAnsi"/>
          <w:sz w:val="24"/>
          <w:szCs w:val="24"/>
        </w:rPr>
      </w:pPr>
      <w:r w:rsidRPr="000358D9">
        <w:rPr>
          <w:rFonts w:cstheme="minorHAnsi"/>
          <w:sz w:val="24"/>
          <w:szCs w:val="24"/>
        </w:rPr>
        <w:t xml:space="preserve">Γ. </w:t>
      </w:r>
      <w:r w:rsidRPr="000358D9">
        <w:rPr>
          <w:rFonts w:cstheme="minorHAnsi"/>
          <w:b/>
          <w:sz w:val="24"/>
          <w:szCs w:val="24"/>
        </w:rPr>
        <w:t>Κοινωνική-εισοδηματική πολιτική, στήριξη των ευάλωτων ομάδων πληθυσμού:</w:t>
      </w:r>
      <w:r w:rsidRPr="000358D9">
        <w:rPr>
          <w:rFonts w:cstheme="minorHAnsi"/>
          <w:sz w:val="24"/>
          <w:szCs w:val="24"/>
        </w:rPr>
        <w:t xml:space="preserve"> </w:t>
      </w:r>
    </w:p>
    <w:p w14:paraId="74FF19F3" w14:textId="1D9EB746" w:rsidR="000358D9" w:rsidRPr="000358D9" w:rsidRDefault="000358D9" w:rsidP="000358D9">
      <w:pPr>
        <w:spacing w:after="0"/>
        <w:jc w:val="both"/>
        <w:rPr>
          <w:rFonts w:cstheme="minorHAnsi"/>
          <w:sz w:val="24"/>
          <w:szCs w:val="24"/>
        </w:rPr>
      </w:pPr>
      <w:r w:rsidRPr="000358D9">
        <w:rPr>
          <w:rFonts w:cstheme="minorHAnsi"/>
          <w:sz w:val="24"/>
          <w:szCs w:val="24"/>
        </w:rPr>
        <w:t xml:space="preserve">Δ. </w:t>
      </w:r>
      <w:r w:rsidRPr="000358D9">
        <w:rPr>
          <w:rFonts w:cstheme="minorHAnsi"/>
          <w:b/>
          <w:sz w:val="24"/>
          <w:szCs w:val="24"/>
        </w:rPr>
        <w:t>Αντιμετώπιση των επιπτώσεων από τις φυσικές καταστροφές</w:t>
      </w:r>
      <w:r w:rsidRPr="000358D9">
        <w:rPr>
          <w:rFonts w:cstheme="minorHAnsi"/>
          <w:sz w:val="24"/>
          <w:szCs w:val="24"/>
        </w:rPr>
        <w:t xml:space="preserve">. </w:t>
      </w:r>
    </w:p>
    <w:p w14:paraId="5D6BBE52" w14:textId="77777777" w:rsidR="00DF2C0E" w:rsidRDefault="00DF2C0E" w:rsidP="000358D9">
      <w:pPr>
        <w:spacing w:after="0"/>
        <w:jc w:val="both"/>
        <w:rPr>
          <w:rFonts w:cstheme="minorHAnsi"/>
          <w:sz w:val="24"/>
          <w:szCs w:val="24"/>
        </w:rPr>
      </w:pPr>
    </w:p>
    <w:p w14:paraId="79938519" w14:textId="6CE9B904" w:rsidR="000358D9" w:rsidRPr="000358D9" w:rsidRDefault="000358D9" w:rsidP="000358D9">
      <w:pPr>
        <w:spacing w:after="0"/>
        <w:jc w:val="both"/>
        <w:rPr>
          <w:rFonts w:cstheme="minorHAnsi"/>
          <w:sz w:val="24"/>
          <w:szCs w:val="24"/>
        </w:rPr>
      </w:pPr>
      <w:r w:rsidRPr="000358D9">
        <w:rPr>
          <w:rFonts w:cstheme="minorHAnsi"/>
          <w:sz w:val="24"/>
          <w:szCs w:val="24"/>
        </w:rPr>
        <w:t>Πιο αναλυτικά:</w:t>
      </w:r>
    </w:p>
    <w:p w14:paraId="56708A7C" w14:textId="77777777" w:rsidR="00DF2C0E" w:rsidRDefault="00DF2C0E" w:rsidP="000358D9">
      <w:pPr>
        <w:spacing w:after="0"/>
        <w:jc w:val="center"/>
        <w:rPr>
          <w:rFonts w:cstheme="minorHAnsi"/>
          <w:b/>
          <w:sz w:val="24"/>
          <w:szCs w:val="24"/>
        </w:rPr>
      </w:pPr>
    </w:p>
    <w:p w14:paraId="2B65F9A8" w14:textId="367DA292" w:rsidR="000358D9" w:rsidRPr="000358D9" w:rsidRDefault="000358D9" w:rsidP="000358D9">
      <w:pPr>
        <w:spacing w:after="0"/>
        <w:jc w:val="center"/>
        <w:rPr>
          <w:rFonts w:cstheme="minorHAnsi"/>
          <w:sz w:val="24"/>
          <w:szCs w:val="24"/>
        </w:rPr>
      </w:pPr>
      <w:r w:rsidRPr="000358D9">
        <w:rPr>
          <w:rFonts w:cstheme="minorHAnsi"/>
          <w:b/>
          <w:sz w:val="24"/>
          <w:szCs w:val="24"/>
        </w:rPr>
        <w:t>Α. Τραπεζικός τομέας</w:t>
      </w:r>
    </w:p>
    <w:p w14:paraId="03A9844E" w14:textId="77777777" w:rsidR="00DF2C0E" w:rsidRDefault="00DF2C0E" w:rsidP="000358D9">
      <w:pPr>
        <w:spacing w:after="0"/>
        <w:jc w:val="both"/>
        <w:rPr>
          <w:rFonts w:cstheme="minorHAnsi"/>
          <w:sz w:val="24"/>
          <w:szCs w:val="24"/>
        </w:rPr>
      </w:pPr>
    </w:p>
    <w:p w14:paraId="02277954" w14:textId="0CD2879F" w:rsidR="000358D9" w:rsidRPr="000358D9" w:rsidRDefault="000358D9" w:rsidP="000358D9">
      <w:pPr>
        <w:spacing w:after="0"/>
        <w:jc w:val="both"/>
        <w:rPr>
          <w:rFonts w:cstheme="minorHAnsi"/>
          <w:sz w:val="24"/>
          <w:szCs w:val="24"/>
        </w:rPr>
      </w:pPr>
      <w:r w:rsidRPr="000358D9">
        <w:rPr>
          <w:rFonts w:cstheme="minorHAnsi"/>
          <w:sz w:val="24"/>
          <w:szCs w:val="24"/>
        </w:rPr>
        <w:t>Στόχος των παρεμβάσεων είναι η τόνωση του ανταγωνισμού και η βελτίωση της πρόσβασης επιχειρήσεων και ιδιωτών στο τραπεζικό σύστημα. Οι στόχοι αυτοί εξυπηρετούνται με τις εξής πρωτοβουλίες:</w:t>
      </w:r>
    </w:p>
    <w:p w14:paraId="3F663015" w14:textId="6B9A5CF5" w:rsidR="000358D9" w:rsidRPr="00DF2C0E" w:rsidRDefault="000358D9" w:rsidP="00DF2C0E">
      <w:pPr>
        <w:pStyle w:val="a5"/>
        <w:numPr>
          <w:ilvl w:val="0"/>
          <w:numId w:val="38"/>
        </w:numPr>
        <w:spacing w:line="259" w:lineRule="auto"/>
        <w:ind w:left="714" w:hanging="357"/>
        <w:rPr>
          <w:rFonts w:asciiTheme="minorHAnsi" w:hAnsiTheme="minorHAnsi" w:cstheme="minorHAnsi"/>
          <w:sz w:val="24"/>
          <w:szCs w:val="24"/>
        </w:rPr>
      </w:pPr>
      <w:r w:rsidRPr="00DF2C0E">
        <w:rPr>
          <w:rFonts w:asciiTheme="minorHAnsi" w:hAnsiTheme="minorHAnsi" w:cstheme="minorHAnsi"/>
          <w:sz w:val="24"/>
          <w:szCs w:val="24"/>
        </w:rPr>
        <w:t xml:space="preserve">Πρώτον: χρήση του επιτυχημένου προγράμματος </w:t>
      </w:r>
      <w:r w:rsidRPr="00DF2C0E">
        <w:rPr>
          <w:rFonts w:asciiTheme="minorHAnsi" w:hAnsiTheme="minorHAnsi" w:cstheme="minorHAnsi"/>
          <w:b/>
          <w:sz w:val="24"/>
          <w:szCs w:val="24"/>
        </w:rPr>
        <w:t>Ηρακλής</w:t>
      </w:r>
      <w:r w:rsidRPr="00DF2C0E">
        <w:rPr>
          <w:rFonts w:asciiTheme="minorHAnsi" w:hAnsiTheme="minorHAnsi" w:cstheme="minorHAnsi"/>
          <w:sz w:val="24"/>
          <w:szCs w:val="24"/>
        </w:rPr>
        <w:t xml:space="preserve"> για την αντιμετώπιση των όποιων εκκρεμοτήτων και την περαιτέρω εξυγίανση των ισολογισμών των τραπεζών.</w:t>
      </w:r>
    </w:p>
    <w:p w14:paraId="4E4F61AF" w14:textId="1BED1E13" w:rsidR="000358D9" w:rsidRPr="00DF2C0E" w:rsidRDefault="000358D9" w:rsidP="00DF2C0E">
      <w:pPr>
        <w:pStyle w:val="a5"/>
        <w:numPr>
          <w:ilvl w:val="0"/>
          <w:numId w:val="38"/>
        </w:numPr>
        <w:spacing w:line="259" w:lineRule="auto"/>
        <w:ind w:left="714" w:hanging="357"/>
        <w:rPr>
          <w:rFonts w:asciiTheme="minorHAnsi" w:hAnsiTheme="minorHAnsi" w:cstheme="minorHAnsi"/>
          <w:sz w:val="24"/>
          <w:szCs w:val="24"/>
        </w:rPr>
      </w:pPr>
      <w:r w:rsidRPr="00DF2C0E">
        <w:rPr>
          <w:rFonts w:asciiTheme="minorHAnsi" w:hAnsiTheme="minorHAnsi" w:cstheme="minorHAnsi"/>
          <w:sz w:val="24"/>
          <w:szCs w:val="24"/>
        </w:rPr>
        <w:t xml:space="preserve">Δεύτερον: ενίσχυση του </w:t>
      </w:r>
      <w:r w:rsidRPr="00DF2C0E">
        <w:rPr>
          <w:rFonts w:asciiTheme="minorHAnsi" w:hAnsiTheme="minorHAnsi" w:cstheme="minorHAnsi"/>
          <w:b/>
          <w:sz w:val="24"/>
          <w:szCs w:val="24"/>
        </w:rPr>
        <w:t>ανταγωνισμού</w:t>
      </w:r>
      <w:r w:rsidRPr="00DF2C0E">
        <w:rPr>
          <w:rFonts w:asciiTheme="minorHAnsi" w:hAnsiTheme="minorHAnsi" w:cstheme="minorHAnsi"/>
          <w:sz w:val="24"/>
          <w:szCs w:val="24"/>
        </w:rPr>
        <w:t xml:space="preserve"> στο τραπεζικό σύστημα, με στόχο τη μείωση της ψαλίδας μεταξύ των επιτοκίων χορηγήσεων και των επιτοκίων καταθέσεων. Βασικό εργαλείο στην κατεύθυνση αυτή θα είναι η δυνατότητα χορήγησης στεγαστικών και επιχειρηματικών δανείων και από </w:t>
      </w:r>
      <w:r w:rsidRPr="00DF2C0E">
        <w:rPr>
          <w:rFonts w:asciiTheme="minorHAnsi" w:hAnsiTheme="minorHAnsi" w:cstheme="minorHAnsi"/>
          <w:b/>
          <w:sz w:val="24"/>
          <w:szCs w:val="24"/>
        </w:rPr>
        <w:t>μη τραπεζικά ιδρύματα</w:t>
      </w:r>
      <w:r w:rsidRPr="00DF2C0E">
        <w:rPr>
          <w:rFonts w:asciiTheme="minorHAnsi" w:hAnsiTheme="minorHAnsi" w:cstheme="minorHAnsi"/>
          <w:sz w:val="24"/>
          <w:szCs w:val="24"/>
        </w:rPr>
        <w:t xml:space="preserve"> – υπό την εποπτεία πάντοτε της Τράπεζας της Ελλάδος – που θα υλοποιηθεί με την προώθηση σχετικής νομοθεσίας.</w:t>
      </w:r>
    </w:p>
    <w:p w14:paraId="56634F10" w14:textId="72A792BF" w:rsidR="000358D9" w:rsidRPr="00DF2C0E" w:rsidRDefault="000358D9" w:rsidP="00DF2C0E">
      <w:pPr>
        <w:pStyle w:val="a5"/>
        <w:numPr>
          <w:ilvl w:val="0"/>
          <w:numId w:val="38"/>
        </w:numPr>
        <w:spacing w:line="259" w:lineRule="auto"/>
        <w:ind w:left="714" w:hanging="357"/>
        <w:rPr>
          <w:rFonts w:asciiTheme="minorHAnsi" w:hAnsiTheme="minorHAnsi" w:cstheme="minorHAnsi"/>
          <w:sz w:val="24"/>
          <w:szCs w:val="24"/>
        </w:rPr>
      </w:pPr>
      <w:r w:rsidRPr="00DF2C0E">
        <w:rPr>
          <w:rFonts w:asciiTheme="minorHAnsi" w:hAnsiTheme="minorHAnsi" w:cstheme="minorHAnsi"/>
          <w:sz w:val="24"/>
          <w:szCs w:val="24"/>
        </w:rPr>
        <w:t xml:space="preserve">Τρίτον: Στήριξη της υπηρεσίας </w:t>
      </w:r>
      <w:r w:rsidRPr="00DF2C0E">
        <w:rPr>
          <w:rFonts w:asciiTheme="minorHAnsi" w:hAnsiTheme="minorHAnsi" w:cstheme="minorHAnsi"/>
          <w:b/>
          <w:sz w:val="24"/>
          <w:szCs w:val="24"/>
        </w:rPr>
        <w:t>IRIS</w:t>
      </w:r>
      <w:r w:rsidRPr="00DF2C0E">
        <w:rPr>
          <w:rFonts w:asciiTheme="minorHAnsi" w:hAnsiTheme="minorHAnsi" w:cstheme="minorHAnsi"/>
          <w:sz w:val="24"/>
          <w:szCs w:val="24"/>
        </w:rPr>
        <w:t xml:space="preserve">, η οποία δίνει τη δυνατότητα αποστολής χρημάτων -μέσω κινητού, χωρίς να απαιτείται το </w:t>
      </w:r>
      <w:proofErr w:type="spellStart"/>
      <w:r w:rsidRPr="00DF2C0E">
        <w:rPr>
          <w:rFonts w:asciiTheme="minorHAnsi" w:hAnsiTheme="minorHAnsi" w:cstheme="minorHAnsi"/>
          <w:sz w:val="24"/>
          <w:szCs w:val="24"/>
        </w:rPr>
        <w:t>IBAN</w:t>
      </w:r>
      <w:proofErr w:type="spellEnd"/>
      <w:r w:rsidRPr="00DF2C0E">
        <w:rPr>
          <w:rFonts w:asciiTheme="minorHAnsi" w:hAnsiTheme="minorHAnsi" w:cstheme="minorHAnsi"/>
          <w:sz w:val="24"/>
          <w:szCs w:val="24"/>
        </w:rPr>
        <w:t xml:space="preserve"> και χωρίς καμία </w:t>
      </w:r>
      <w:r w:rsidRPr="00DF2C0E">
        <w:rPr>
          <w:rFonts w:asciiTheme="minorHAnsi" w:hAnsiTheme="minorHAnsi" w:cstheme="minorHAnsi"/>
          <w:sz w:val="24"/>
          <w:szCs w:val="24"/>
        </w:rPr>
        <w:lastRenderedPageBreak/>
        <w:t xml:space="preserve">χρέωση και καμία προμήθεια- από μία τράπεζα σε μία άλλη (μέχρι τα 500 ευρώ ημερησίως). </w:t>
      </w:r>
    </w:p>
    <w:p w14:paraId="3ADD0682" w14:textId="21B58D0B" w:rsidR="000358D9" w:rsidRPr="00DF2C0E" w:rsidRDefault="000358D9" w:rsidP="00DF2C0E">
      <w:pPr>
        <w:pStyle w:val="a5"/>
        <w:numPr>
          <w:ilvl w:val="0"/>
          <w:numId w:val="38"/>
        </w:numPr>
        <w:spacing w:line="259" w:lineRule="auto"/>
        <w:ind w:left="714" w:hanging="357"/>
        <w:rPr>
          <w:rFonts w:asciiTheme="minorHAnsi" w:hAnsiTheme="minorHAnsi" w:cstheme="minorHAnsi"/>
          <w:sz w:val="24"/>
          <w:szCs w:val="24"/>
        </w:rPr>
      </w:pPr>
      <w:r w:rsidRPr="00DF2C0E">
        <w:rPr>
          <w:rFonts w:asciiTheme="minorHAnsi" w:hAnsiTheme="minorHAnsi" w:cstheme="minorHAnsi"/>
          <w:sz w:val="24"/>
          <w:szCs w:val="24"/>
        </w:rPr>
        <w:t xml:space="preserve">Τέταρτον: </w:t>
      </w:r>
      <w:proofErr w:type="spellStart"/>
      <w:r w:rsidRPr="00DF2C0E">
        <w:rPr>
          <w:rFonts w:asciiTheme="minorHAnsi" w:hAnsiTheme="minorHAnsi" w:cstheme="minorHAnsi"/>
          <w:b/>
          <w:sz w:val="24"/>
          <w:szCs w:val="24"/>
        </w:rPr>
        <w:t>Αποεπένδυση</w:t>
      </w:r>
      <w:proofErr w:type="spellEnd"/>
      <w:r w:rsidRPr="00DF2C0E">
        <w:rPr>
          <w:rFonts w:asciiTheme="minorHAnsi" w:hAnsiTheme="minorHAnsi" w:cstheme="minorHAnsi"/>
          <w:sz w:val="24"/>
          <w:szCs w:val="24"/>
        </w:rPr>
        <w:t xml:space="preserve"> του Ταμείου Χρηματοπιστωτικής Σταθερότητας από τις συστημικές τράπεζες, η οποία θα προχωρήσει χωρίς καθυστερήσεις και θα φέρει νέα κεφάλαια στη χώρα.</w:t>
      </w:r>
    </w:p>
    <w:p w14:paraId="4C4F8011" w14:textId="4CF0A8CD" w:rsidR="000358D9" w:rsidRPr="00DF2C0E" w:rsidRDefault="000358D9" w:rsidP="00DF2C0E">
      <w:pPr>
        <w:pStyle w:val="a5"/>
        <w:numPr>
          <w:ilvl w:val="0"/>
          <w:numId w:val="38"/>
        </w:numPr>
        <w:spacing w:line="259" w:lineRule="auto"/>
        <w:ind w:left="714" w:hanging="357"/>
        <w:rPr>
          <w:rFonts w:asciiTheme="minorHAnsi" w:hAnsiTheme="minorHAnsi" w:cstheme="minorHAnsi"/>
          <w:sz w:val="24"/>
          <w:szCs w:val="24"/>
        </w:rPr>
      </w:pPr>
      <w:proofErr w:type="spellStart"/>
      <w:r w:rsidRPr="00DF2C0E">
        <w:rPr>
          <w:rFonts w:asciiTheme="minorHAnsi" w:hAnsiTheme="minorHAnsi" w:cstheme="minorHAnsi"/>
          <w:sz w:val="24"/>
          <w:szCs w:val="24"/>
        </w:rPr>
        <w:t>Πέμπτον</w:t>
      </w:r>
      <w:proofErr w:type="spellEnd"/>
      <w:r w:rsidRPr="00DF2C0E">
        <w:rPr>
          <w:rFonts w:asciiTheme="minorHAnsi" w:hAnsiTheme="minorHAnsi" w:cstheme="minorHAnsi"/>
          <w:sz w:val="24"/>
          <w:szCs w:val="24"/>
        </w:rPr>
        <w:t xml:space="preserve">: Αντιμετώπιση του προβλήματος των </w:t>
      </w:r>
      <w:r w:rsidRPr="00DF2C0E">
        <w:rPr>
          <w:rFonts w:asciiTheme="minorHAnsi" w:hAnsiTheme="minorHAnsi" w:cstheme="minorHAnsi"/>
          <w:b/>
          <w:sz w:val="24"/>
          <w:szCs w:val="24"/>
        </w:rPr>
        <w:t>κόκκινων δανείων</w:t>
      </w:r>
      <w:r w:rsidRPr="00DF2C0E">
        <w:rPr>
          <w:rFonts w:asciiTheme="minorHAnsi" w:hAnsiTheme="minorHAnsi" w:cstheme="minorHAnsi"/>
          <w:sz w:val="24"/>
          <w:szCs w:val="24"/>
        </w:rPr>
        <w:t xml:space="preserve"> με θέσπιση νέου πλαισίου κανόνων, υποχρεώσεων και ποινών για τους </w:t>
      </w:r>
      <w:proofErr w:type="spellStart"/>
      <w:r w:rsidRPr="00DF2C0E">
        <w:rPr>
          <w:rFonts w:asciiTheme="minorHAnsi" w:hAnsiTheme="minorHAnsi" w:cstheme="minorHAnsi"/>
          <w:b/>
          <w:sz w:val="24"/>
          <w:szCs w:val="24"/>
        </w:rPr>
        <w:t>service</w:t>
      </w:r>
      <w:proofErr w:type="spellEnd"/>
      <w:r w:rsidRPr="00DF2C0E">
        <w:rPr>
          <w:rFonts w:asciiTheme="minorHAnsi" w:hAnsiTheme="minorHAnsi" w:cstheme="minorHAnsi"/>
          <w:b/>
          <w:sz w:val="24"/>
          <w:szCs w:val="24"/>
          <w:lang w:val="en-US"/>
        </w:rPr>
        <w:t>r</w:t>
      </w:r>
      <w:r w:rsidRPr="00DF2C0E">
        <w:rPr>
          <w:rFonts w:asciiTheme="minorHAnsi" w:hAnsiTheme="minorHAnsi" w:cstheme="minorHAnsi"/>
          <w:b/>
          <w:sz w:val="24"/>
          <w:szCs w:val="24"/>
        </w:rPr>
        <w:t>s</w:t>
      </w:r>
      <w:r w:rsidRPr="00DF2C0E">
        <w:rPr>
          <w:rFonts w:asciiTheme="minorHAnsi" w:hAnsiTheme="minorHAnsi" w:cstheme="minorHAnsi"/>
          <w:sz w:val="24"/>
          <w:szCs w:val="24"/>
        </w:rPr>
        <w:t xml:space="preserve"> και προστασία των </w:t>
      </w:r>
      <w:r w:rsidRPr="00DF2C0E">
        <w:rPr>
          <w:rFonts w:asciiTheme="minorHAnsi" w:hAnsiTheme="minorHAnsi" w:cstheme="minorHAnsi"/>
          <w:b/>
          <w:sz w:val="24"/>
          <w:szCs w:val="24"/>
        </w:rPr>
        <w:t>πραγματικά ευάλωτων</w:t>
      </w:r>
      <w:r w:rsidRPr="00DF2C0E">
        <w:rPr>
          <w:rFonts w:asciiTheme="minorHAnsi" w:hAnsiTheme="minorHAnsi" w:cstheme="minorHAnsi"/>
          <w:sz w:val="24"/>
          <w:szCs w:val="24"/>
        </w:rPr>
        <w:t xml:space="preserve"> δανειοληπτών και όχι εκείνων που παριστάνουν τους ευάλωτους, αποκρύπτοντας για διάφορους λόγους την περιουσία τους και τα εισοδήματά τους. Έτσι θα διασφαλιστεί ότι το νέο πλαίσιο θα γίνει αποδεκτό - όχι μόνο από τους ευάλωτους δανειολήπτες - αλλά και από όσους, παρά τις δυσκολίες, εξακολουθούν να πληρώνουν τα δάνειά τους.</w:t>
      </w:r>
    </w:p>
    <w:p w14:paraId="20F0FA06" w14:textId="77777777" w:rsidR="000358D9" w:rsidRPr="000358D9" w:rsidRDefault="000358D9" w:rsidP="000358D9">
      <w:pPr>
        <w:spacing w:after="0"/>
        <w:jc w:val="both"/>
        <w:rPr>
          <w:rFonts w:cstheme="minorHAnsi"/>
          <w:sz w:val="24"/>
          <w:szCs w:val="24"/>
        </w:rPr>
      </w:pPr>
    </w:p>
    <w:p w14:paraId="5E19264B" w14:textId="77777777" w:rsidR="00DF2C0E" w:rsidRDefault="00DF2C0E" w:rsidP="000358D9">
      <w:pPr>
        <w:spacing w:after="0"/>
        <w:jc w:val="center"/>
        <w:rPr>
          <w:rFonts w:cstheme="minorHAnsi"/>
          <w:b/>
          <w:sz w:val="24"/>
          <w:szCs w:val="24"/>
        </w:rPr>
      </w:pPr>
    </w:p>
    <w:p w14:paraId="57B47698" w14:textId="47889717" w:rsidR="000358D9" w:rsidRDefault="000358D9" w:rsidP="000358D9">
      <w:pPr>
        <w:spacing w:after="0"/>
        <w:jc w:val="center"/>
        <w:rPr>
          <w:rFonts w:cstheme="minorHAnsi"/>
          <w:b/>
          <w:sz w:val="24"/>
          <w:szCs w:val="24"/>
        </w:rPr>
      </w:pPr>
      <w:r w:rsidRPr="000358D9">
        <w:rPr>
          <w:rFonts w:cstheme="minorHAnsi"/>
          <w:b/>
          <w:sz w:val="24"/>
          <w:szCs w:val="24"/>
        </w:rPr>
        <w:t>Β.</w:t>
      </w:r>
      <w:r w:rsidRPr="000358D9">
        <w:rPr>
          <w:rFonts w:cstheme="minorHAnsi"/>
          <w:sz w:val="24"/>
          <w:szCs w:val="24"/>
        </w:rPr>
        <w:t xml:space="preserve"> </w:t>
      </w:r>
      <w:r w:rsidRPr="000358D9">
        <w:rPr>
          <w:rFonts w:cstheme="minorHAnsi"/>
          <w:b/>
          <w:sz w:val="24"/>
          <w:szCs w:val="24"/>
        </w:rPr>
        <w:t>Δέκα μέτρα για την καταπολέμηση της φοροδιαφυγής</w:t>
      </w:r>
    </w:p>
    <w:p w14:paraId="56854671" w14:textId="77777777" w:rsidR="00DF2C0E" w:rsidRPr="000358D9" w:rsidRDefault="00DF2C0E" w:rsidP="000358D9">
      <w:pPr>
        <w:spacing w:after="0"/>
        <w:jc w:val="center"/>
        <w:rPr>
          <w:rFonts w:cstheme="minorHAnsi"/>
          <w:b/>
          <w:sz w:val="24"/>
          <w:szCs w:val="24"/>
        </w:rPr>
      </w:pPr>
    </w:p>
    <w:p w14:paraId="41368AD2" w14:textId="5EF5D54B" w:rsidR="000358D9" w:rsidRPr="000358D9" w:rsidRDefault="000358D9" w:rsidP="000358D9">
      <w:pPr>
        <w:spacing w:after="0"/>
        <w:jc w:val="both"/>
        <w:rPr>
          <w:rFonts w:cstheme="minorHAnsi"/>
          <w:sz w:val="24"/>
          <w:szCs w:val="24"/>
        </w:rPr>
      </w:pPr>
      <w:r w:rsidRPr="000358D9">
        <w:rPr>
          <w:rFonts w:cstheme="minorHAnsi"/>
          <w:sz w:val="24"/>
          <w:szCs w:val="24"/>
        </w:rPr>
        <w:t>1.</w:t>
      </w:r>
      <w:r w:rsidR="00DF2C0E">
        <w:rPr>
          <w:rFonts w:cstheme="minorHAnsi"/>
          <w:sz w:val="24"/>
          <w:szCs w:val="24"/>
        </w:rPr>
        <w:t xml:space="preserve"> </w:t>
      </w:r>
      <w:r w:rsidRPr="000358D9">
        <w:rPr>
          <w:rFonts w:cstheme="minorHAnsi"/>
          <w:sz w:val="24"/>
          <w:szCs w:val="24"/>
        </w:rPr>
        <w:t xml:space="preserve">Ολοκληρώνεται η </w:t>
      </w:r>
      <w:r w:rsidRPr="000358D9">
        <w:rPr>
          <w:rFonts w:cstheme="minorHAnsi"/>
          <w:b/>
          <w:sz w:val="24"/>
          <w:szCs w:val="24"/>
        </w:rPr>
        <w:t>διασύνδεση</w:t>
      </w:r>
      <w:r w:rsidRPr="000358D9">
        <w:rPr>
          <w:rFonts w:cstheme="minorHAnsi"/>
          <w:sz w:val="24"/>
          <w:szCs w:val="24"/>
        </w:rPr>
        <w:t xml:space="preserve"> των ταμειακών μηχανών με τα </w:t>
      </w:r>
      <w:proofErr w:type="spellStart"/>
      <w:r w:rsidRPr="000358D9">
        <w:rPr>
          <w:rFonts w:cstheme="minorHAnsi"/>
          <w:sz w:val="24"/>
          <w:szCs w:val="24"/>
        </w:rPr>
        <w:t>POS</w:t>
      </w:r>
      <w:proofErr w:type="spellEnd"/>
      <w:r w:rsidRPr="000358D9">
        <w:rPr>
          <w:rFonts w:cstheme="minorHAnsi"/>
          <w:sz w:val="24"/>
          <w:szCs w:val="24"/>
        </w:rPr>
        <w:t xml:space="preserve"> τους πρώτους μήνες του 2024 (αφορά 450.000 περίπου επιχειρήσεις). Έτσι θα πιστοποιείται ότι κάθε συναλλαγή </w:t>
      </w:r>
      <w:proofErr w:type="spellStart"/>
      <w:r w:rsidRPr="000358D9">
        <w:rPr>
          <w:rFonts w:cstheme="minorHAnsi"/>
          <w:sz w:val="24"/>
          <w:szCs w:val="24"/>
        </w:rPr>
        <w:t>POS</w:t>
      </w:r>
      <w:proofErr w:type="spellEnd"/>
      <w:r w:rsidRPr="000358D9">
        <w:rPr>
          <w:rFonts w:cstheme="minorHAnsi"/>
          <w:sz w:val="24"/>
          <w:szCs w:val="24"/>
        </w:rPr>
        <w:t xml:space="preserve"> θα καταγράφεται στην ταμειακή μηχανή και τα δεδομένα θα διαβιβάζονται σε σχεδόν πραγματικό χρόνο στην </w:t>
      </w:r>
      <w:proofErr w:type="spellStart"/>
      <w:r w:rsidRPr="000358D9">
        <w:rPr>
          <w:rFonts w:cstheme="minorHAnsi"/>
          <w:sz w:val="24"/>
          <w:szCs w:val="24"/>
        </w:rPr>
        <w:t>ΑΑΔΕ</w:t>
      </w:r>
      <w:proofErr w:type="spellEnd"/>
      <w:r w:rsidRPr="000358D9">
        <w:rPr>
          <w:rFonts w:cstheme="minorHAnsi"/>
          <w:sz w:val="24"/>
          <w:szCs w:val="24"/>
        </w:rPr>
        <w:t>.</w:t>
      </w:r>
    </w:p>
    <w:p w14:paraId="71585416" w14:textId="77777777" w:rsidR="00DF2C0E" w:rsidRDefault="00DF2C0E" w:rsidP="000358D9">
      <w:pPr>
        <w:spacing w:after="0"/>
        <w:jc w:val="both"/>
        <w:rPr>
          <w:rFonts w:cstheme="minorHAnsi"/>
          <w:sz w:val="24"/>
          <w:szCs w:val="24"/>
        </w:rPr>
      </w:pPr>
    </w:p>
    <w:p w14:paraId="64787FD1" w14:textId="4DEDC8C1" w:rsidR="000358D9" w:rsidRPr="000358D9" w:rsidRDefault="000358D9" w:rsidP="000358D9">
      <w:pPr>
        <w:spacing w:after="0"/>
        <w:jc w:val="both"/>
        <w:rPr>
          <w:rFonts w:cstheme="minorHAnsi"/>
          <w:sz w:val="24"/>
          <w:szCs w:val="24"/>
        </w:rPr>
      </w:pPr>
      <w:r w:rsidRPr="000358D9">
        <w:rPr>
          <w:rFonts w:cstheme="minorHAnsi"/>
          <w:sz w:val="24"/>
          <w:szCs w:val="24"/>
        </w:rPr>
        <w:t>2.</w:t>
      </w:r>
      <w:r w:rsidR="00DF2C0E">
        <w:rPr>
          <w:rFonts w:cstheme="minorHAnsi"/>
          <w:sz w:val="24"/>
          <w:szCs w:val="24"/>
        </w:rPr>
        <w:t xml:space="preserve"> </w:t>
      </w:r>
      <w:r w:rsidRPr="000358D9">
        <w:rPr>
          <w:rFonts w:cstheme="minorHAnsi"/>
          <w:sz w:val="24"/>
          <w:szCs w:val="24"/>
        </w:rPr>
        <w:t xml:space="preserve">Καθίστανται μέσα στο 2024 υποχρεωτικά τα </w:t>
      </w:r>
      <w:r w:rsidRPr="000358D9">
        <w:rPr>
          <w:rFonts w:cstheme="minorHAnsi"/>
          <w:b/>
          <w:sz w:val="24"/>
          <w:szCs w:val="24"/>
        </w:rPr>
        <w:t>ηλεκτρονικά τιμολόγια</w:t>
      </w:r>
      <w:r w:rsidRPr="000358D9">
        <w:rPr>
          <w:rFonts w:cstheme="minorHAnsi"/>
          <w:sz w:val="24"/>
          <w:szCs w:val="24"/>
        </w:rPr>
        <w:t>. Ώστε οι συναλλαγές να διασταυρώνονται και να επαληθεύονται σε πραγματικό χρόνο! Παράλληλα αυξάνονται, αυτοματοποιούνται και ψηφιοποιούνται οι έλεγχοι των φορολογικών αρχών.</w:t>
      </w:r>
    </w:p>
    <w:p w14:paraId="3C217A47" w14:textId="77777777" w:rsidR="00DF2C0E" w:rsidRDefault="00DF2C0E" w:rsidP="000358D9">
      <w:pPr>
        <w:spacing w:after="0"/>
        <w:jc w:val="both"/>
        <w:rPr>
          <w:rFonts w:cstheme="minorHAnsi"/>
          <w:sz w:val="24"/>
          <w:szCs w:val="24"/>
        </w:rPr>
      </w:pPr>
    </w:p>
    <w:p w14:paraId="7DCC537B" w14:textId="22E46512" w:rsidR="000358D9" w:rsidRPr="000358D9" w:rsidRDefault="000358D9" w:rsidP="000358D9">
      <w:pPr>
        <w:spacing w:after="0"/>
        <w:jc w:val="both"/>
        <w:rPr>
          <w:rFonts w:cstheme="minorHAnsi"/>
          <w:sz w:val="24"/>
          <w:szCs w:val="24"/>
        </w:rPr>
      </w:pPr>
      <w:r w:rsidRPr="000358D9">
        <w:rPr>
          <w:rFonts w:cstheme="minorHAnsi"/>
          <w:sz w:val="24"/>
          <w:szCs w:val="24"/>
        </w:rPr>
        <w:t>3.</w:t>
      </w:r>
      <w:r w:rsidR="00DF2C0E">
        <w:rPr>
          <w:rFonts w:cstheme="minorHAnsi"/>
          <w:sz w:val="24"/>
          <w:szCs w:val="24"/>
        </w:rPr>
        <w:t xml:space="preserve"> </w:t>
      </w:r>
      <w:r w:rsidRPr="000358D9">
        <w:rPr>
          <w:rFonts w:cstheme="minorHAnsi"/>
          <w:sz w:val="24"/>
          <w:szCs w:val="24"/>
        </w:rPr>
        <w:t>Εφαρμόζονται καθολικά τα ηλεκτρονικά βιβλία (</w:t>
      </w:r>
      <w:proofErr w:type="spellStart"/>
      <w:r w:rsidRPr="000358D9">
        <w:rPr>
          <w:rFonts w:cstheme="minorHAnsi"/>
          <w:b/>
          <w:sz w:val="24"/>
          <w:szCs w:val="24"/>
        </w:rPr>
        <w:t>myDATA</w:t>
      </w:r>
      <w:proofErr w:type="spellEnd"/>
      <w:r w:rsidRPr="000358D9">
        <w:rPr>
          <w:rFonts w:cstheme="minorHAnsi"/>
          <w:sz w:val="24"/>
          <w:szCs w:val="24"/>
        </w:rPr>
        <w:t>). Τα έσοδα που δηλώνονται δεν μπορεί να υπολείπονται από αυτά που προκύπτουν από την ηλεκτρονική πληροφόρηση (</w:t>
      </w:r>
      <w:proofErr w:type="spellStart"/>
      <w:r w:rsidRPr="000358D9">
        <w:rPr>
          <w:rFonts w:cstheme="minorHAnsi"/>
          <w:sz w:val="24"/>
          <w:szCs w:val="24"/>
        </w:rPr>
        <w:t>myDATA</w:t>
      </w:r>
      <w:proofErr w:type="spellEnd"/>
      <w:r w:rsidRPr="000358D9">
        <w:rPr>
          <w:rFonts w:cstheme="minorHAnsi"/>
          <w:sz w:val="24"/>
          <w:szCs w:val="24"/>
        </w:rPr>
        <w:t>, ταμειακές-</w:t>
      </w:r>
      <w:proofErr w:type="spellStart"/>
      <w:r w:rsidRPr="000358D9">
        <w:rPr>
          <w:rFonts w:cstheme="minorHAnsi"/>
          <w:sz w:val="24"/>
          <w:szCs w:val="24"/>
        </w:rPr>
        <w:t>POS</w:t>
      </w:r>
      <w:proofErr w:type="spellEnd"/>
      <w:r w:rsidRPr="000358D9">
        <w:rPr>
          <w:rFonts w:cstheme="minorHAnsi"/>
          <w:sz w:val="24"/>
          <w:szCs w:val="24"/>
        </w:rPr>
        <w:t xml:space="preserve">), ενώ ως τιμολόγια εξόδων θα </w:t>
      </w:r>
      <w:proofErr w:type="spellStart"/>
      <w:r w:rsidRPr="000358D9">
        <w:rPr>
          <w:rFonts w:cstheme="minorHAnsi"/>
          <w:sz w:val="24"/>
          <w:szCs w:val="24"/>
        </w:rPr>
        <w:t>προσμετρώνται</w:t>
      </w:r>
      <w:proofErr w:type="spellEnd"/>
      <w:r w:rsidRPr="000358D9">
        <w:rPr>
          <w:rFonts w:cstheme="minorHAnsi"/>
          <w:sz w:val="24"/>
          <w:szCs w:val="24"/>
        </w:rPr>
        <w:t xml:space="preserve"> για φορολογικούς σκοπούς μόνο όσα έχουν διαβιβαστεί ηλεκτρονικά στο </w:t>
      </w:r>
      <w:proofErr w:type="spellStart"/>
      <w:r w:rsidRPr="000358D9">
        <w:rPr>
          <w:rFonts w:cstheme="minorHAnsi"/>
          <w:sz w:val="24"/>
          <w:szCs w:val="24"/>
        </w:rPr>
        <w:t>myDATA</w:t>
      </w:r>
      <w:proofErr w:type="spellEnd"/>
      <w:r w:rsidRPr="000358D9">
        <w:rPr>
          <w:rFonts w:cstheme="minorHAnsi"/>
          <w:sz w:val="24"/>
          <w:szCs w:val="24"/>
        </w:rPr>
        <w:t xml:space="preserve">. Η επέκταση του </w:t>
      </w:r>
      <w:proofErr w:type="spellStart"/>
      <w:r w:rsidRPr="000358D9">
        <w:rPr>
          <w:rFonts w:cstheme="minorHAnsi"/>
          <w:sz w:val="24"/>
          <w:szCs w:val="24"/>
        </w:rPr>
        <w:t>myDATA</w:t>
      </w:r>
      <w:proofErr w:type="spellEnd"/>
      <w:r w:rsidRPr="000358D9">
        <w:rPr>
          <w:rFonts w:cstheme="minorHAnsi"/>
          <w:sz w:val="24"/>
          <w:szCs w:val="24"/>
        </w:rPr>
        <w:t xml:space="preserve"> βρίσκεται σε εξέλιξη και η πλήρης εφαρμογή θα ολοκληρωθεί εντός του 2024.</w:t>
      </w:r>
    </w:p>
    <w:p w14:paraId="0BACE3CE" w14:textId="77777777" w:rsidR="00DF2C0E" w:rsidRDefault="00DF2C0E" w:rsidP="000358D9">
      <w:pPr>
        <w:spacing w:after="0"/>
        <w:jc w:val="both"/>
        <w:rPr>
          <w:rFonts w:cstheme="minorHAnsi"/>
          <w:sz w:val="24"/>
          <w:szCs w:val="24"/>
        </w:rPr>
      </w:pPr>
    </w:p>
    <w:p w14:paraId="22AB9EBB" w14:textId="5CA6F25E" w:rsidR="000358D9" w:rsidRPr="000358D9" w:rsidRDefault="000358D9" w:rsidP="000358D9">
      <w:pPr>
        <w:spacing w:after="0"/>
        <w:jc w:val="both"/>
        <w:rPr>
          <w:rFonts w:cstheme="minorHAnsi"/>
          <w:sz w:val="24"/>
          <w:szCs w:val="24"/>
        </w:rPr>
      </w:pPr>
      <w:r w:rsidRPr="000358D9">
        <w:rPr>
          <w:rFonts w:cstheme="minorHAnsi"/>
          <w:sz w:val="24"/>
          <w:szCs w:val="24"/>
        </w:rPr>
        <w:t>4.</w:t>
      </w:r>
      <w:r w:rsidR="00DF2C0E">
        <w:rPr>
          <w:rFonts w:cstheme="minorHAnsi"/>
          <w:sz w:val="24"/>
          <w:szCs w:val="24"/>
        </w:rPr>
        <w:t xml:space="preserve"> </w:t>
      </w:r>
      <w:r w:rsidRPr="000358D9">
        <w:rPr>
          <w:rFonts w:cstheme="minorHAnsi"/>
          <w:sz w:val="24"/>
          <w:szCs w:val="24"/>
        </w:rPr>
        <w:t>Επεκτείνεται η υποχρέωση κατοχής συστήματος ηλεκτρονικών πληρωμών (</w:t>
      </w:r>
      <w:proofErr w:type="spellStart"/>
      <w:r w:rsidRPr="000358D9">
        <w:rPr>
          <w:rFonts w:cstheme="minorHAnsi"/>
          <w:sz w:val="24"/>
          <w:szCs w:val="24"/>
        </w:rPr>
        <w:t>EFT</w:t>
      </w:r>
      <w:proofErr w:type="spellEnd"/>
      <w:r w:rsidRPr="000358D9">
        <w:rPr>
          <w:rFonts w:cstheme="minorHAnsi"/>
          <w:sz w:val="24"/>
          <w:szCs w:val="24"/>
        </w:rPr>
        <w:t>/</w:t>
      </w:r>
      <w:proofErr w:type="spellStart"/>
      <w:r w:rsidRPr="000358D9">
        <w:rPr>
          <w:rFonts w:cstheme="minorHAnsi"/>
          <w:sz w:val="24"/>
          <w:szCs w:val="24"/>
        </w:rPr>
        <w:t>POS</w:t>
      </w:r>
      <w:proofErr w:type="spellEnd"/>
      <w:r w:rsidRPr="000358D9">
        <w:rPr>
          <w:rFonts w:cstheme="minorHAnsi"/>
          <w:sz w:val="24"/>
          <w:szCs w:val="24"/>
        </w:rPr>
        <w:t>) στους υπόλοιπους κλάδους της λιανικής αγοράς που σήμερα δεν έχουν την υποχρέωση</w:t>
      </w:r>
      <w:r w:rsidRPr="000358D9">
        <w:rPr>
          <w:rFonts w:cstheme="minorHAnsi"/>
          <w:strike/>
          <w:sz w:val="24"/>
          <w:szCs w:val="24"/>
        </w:rPr>
        <w:t>.</w:t>
      </w:r>
      <w:r w:rsidRPr="000358D9">
        <w:rPr>
          <w:rFonts w:cstheme="minorHAnsi"/>
          <w:sz w:val="24"/>
          <w:szCs w:val="24"/>
        </w:rPr>
        <w:t xml:space="preserve"> Οι ηλεκτρονικές συναλλαγές οδήγησαν στην αύξηση των εσόδων από τον ΦΠΑ και στον περιορισμό της διακίνησης «μαύρου» χρήματος και η επέκτασή τους θα διευρύνει τη φορολογική βάση, θα διευκολύνει το έργο των ελεγκτικών μηχανισμών και θα περιορίσει τα περιθώρια φοροδιαφυγής.</w:t>
      </w:r>
    </w:p>
    <w:p w14:paraId="2046AD33" w14:textId="77777777" w:rsidR="00DF2C0E" w:rsidRDefault="00DF2C0E" w:rsidP="000358D9">
      <w:pPr>
        <w:spacing w:after="0"/>
        <w:jc w:val="both"/>
        <w:rPr>
          <w:rFonts w:cstheme="minorHAnsi"/>
          <w:sz w:val="24"/>
          <w:szCs w:val="24"/>
        </w:rPr>
      </w:pPr>
    </w:p>
    <w:p w14:paraId="2CF527F4" w14:textId="0E955D98" w:rsidR="000358D9" w:rsidRPr="000358D9" w:rsidRDefault="000358D9" w:rsidP="000358D9">
      <w:pPr>
        <w:spacing w:after="0"/>
        <w:jc w:val="both"/>
        <w:rPr>
          <w:rFonts w:cstheme="minorHAnsi"/>
          <w:sz w:val="24"/>
          <w:szCs w:val="24"/>
        </w:rPr>
      </w:pPr>
      <w:r w:rsidRPr="000358D9">
        <w:rPr>
          <w:rFonts w:cstheme="minorHAnsi"/>
          <w:sz w:val="24"/>
          <w:szCs w:val="24"/>
        </w:rPr>
        <w:t>5.</w:t>
      </w:r>
      <w:r w:rsidR="00DF2C0E">
        <w:rPr>
          <w:rFonts w:cstheme="minorHAnsi"/>
          <w:sz w:val="24"/>
          <w:szCs w:val="24"/>
        </w:rPr>
        <w:t xml:space="preserve"> </w:t>
      </w:r>
      <w:r w:rsidRPr="000358D9">
        <w:rPr>
          <w:rFonts w:cstheme="minorHAnsi"/>
          <w:sz w:val="24"/>
          <w:szCs w:val="24"/>
        </w:rPr>
        <w:t xml:space="preserve">Θεσμοθετείται η υποχρέωση </w:t>
      </w:r>
      <w:r w:rsidRPr="000358D9">
        <w:rPr>
          <w:rFonts w:cstheme="minorHAnsi"/>
          <w:b/>
          <w:sz w:val="24"/>
          <w:szCs w:val="24"/>
        </w:rPr>
        <w:t>αγοραπωλησίας ακινήτων</w:t>
      </w:r>
      <w:r w:rsidRPr="000358D9">
        <w:rPr>
          <w:rFonts w:cstheme="minorHAnsi"/>
          <w:sz w:val="24"/>
          <w:szCs w:val="24"/>
        </w:rPr>
        <w:t xml:space="preserve"> μόνο με τραπεζικά μέσα πληρωμής. Τα συμβόλαια αγοραπωλησίας ακινήτων θα αναγράφουν υποχρεωτικά την εξόφληση του τιμήματος μεταβίβασης αποκλειστικά με τραπεζικά μέσα </w:t>
      </w:r>
      <w:r w:rsidRPr="000358D9">
        <w:rPr>
          <w:rFonts w:cstheme="minorHAnsi"/>
          <w:sz w:val="24"/>
          <w:szCs w:val="24"/>
        </w:rPr>
        <w:lastRenderedPageBreak/>
        <w:t xml:space="preserve">πληρωμής. Στόχος, να καταργηθεί η δυνατότητα αγοράς ακινήτων με μετρητά, η οποία συντηρεί φαινόμενα φοροδιαφυγής και ξεπλύματος βρώμικου χρήματος. </w:t>
      </w:r>
    </w:p>
    <w:p w14:paraId="540A8213" w14:textId="77777777" w:rsidR="000358D9" w:rsidRDefault="000358D9" w:rsidP="00DF2C0E">
      <w:pPr>
        <w:spacing w:after="0"/>
        <w:jc w:val="both"/>
        <w:rPr>
          <w:rFonts w:cstheme="minorHAnsi"/>
          <w:i/>
          <w:sz w:val="24"/>
          <w:szCs w:val="24"/>
        </w:rPr>
      </w:pPr>
      <w:r w:rsidRPr="000358D9">
        <w:rPr>
          <w:rFonts w:cstheme="minorHAnsi"/>
          <w:i/>
          <w:sz w:val="24"/>
          <w:szCs w:val="24"/>
        </w:rPr>
        <w:t xml:space="preserve">Σημειώνεται ότι από την έναρξη λειτουργίας της πλατφόρμας </w:t>
      </w:r>
      <w:proofErr w:type="spellStart"/>
      <w:r w:rsidRPr="000358D9">
        <w:rPr>
          <w:rFonts w:cstheme="minorHAnsi"/>
          <w:i/>
          <w:sz w:val="24"/>
          <w:szCs w:val="24"/>
        </w:rPr>
        <w:t>myPROPERTY</w:t>
      </w:r>
      <w:proofErr w:type="spellEnd"/>
      <w:r w:rsidRPr="000358D9">
        <w:rPr>
          <w:rFonts w:cstheme="minorHAnsi"/>
          <w:i/>
          <w:sz w:val="24"/>
          <w:szCs w:val="24"/>
        </w:rPr>
        <w:t xml:space="preserve"> (Μάρτιος 2021) έχουν καταχωριστεί 42.613 δηλώσεις μεταβίβασης ακινήτων, το τίμημα των οποίων εξοφλήθηκε αποκλειστικά με μετρητά και ανέρχεται αθροιστικά στα 462.493.710,3 €. Έχουν καταχωριστεί επιπλέον 41.741 δηλώσεις μεταβίβασης ακινήτων το τίμημα των οποίων εξοφλήθηκε εν μέρει μόνο με μετρητά και ανέρχεται αθροιστικά στα 2.980.580.395.13€  (το ποσό είναι το συνολικό για τις δηλώσεις αυτές, διότι δεν καταχωρείται διακριτά το ποσό που καταβάλλεται με μετρητά).</w:t>
      </w:r>
    </w:p>
    <w:p w14:paraId="4B18F8E3" w14:textId="77777777" w:rsidR="00DF2C0E" w:rsidRPr="000358D9" w:rsidRDefault="00DF2C0E" w:rsidP="00DF2C0E">
      <w:pPr>
        <w:spacing w:after="0"/>
        <w:jc w:val="both"/>
        <w:rPr>
          <w:rFonts w:cstheme="minorHAnsi"/>
          <w:i/>
          <w:sz w:val="24"/>
          <w:szCs w:val="24"/>
        </w:rPr>
      </w:pPr>
    </w:p>
    <w:p w14:paraId="322CE2DA" w14:textId="1810F99A" w:rsidR="000358D9" w:rsidRPr="000358D9" w:rsidRDefault="000358D9" w:rsidP="000358D9">
      <w:pPr>
        <w:spacing w:after="0"/>
        <w:jc w:val="both"/>
        <w:rPr>
          <w:rFonts w:cstheme="minorHAnsi"/>
          <w:i/>
          <w:sz w:val="24"/>
          <w:szCs w:val="24"/>
        </w:rPr>
      </w:pPr>
      <w:r w:rsidRPr="000358D9">
        <w:rPr>
          <w:rFonts w:cstheme="minorHAnsi"/>
          <w:i/>
          <w:sz w:val="24"/>
          <w:szCs w:val="24"/>
        </w:rPr>
        <w:t>Συνολικά οι μεταβιβάσεις που έγιναν αποκλειστικά ή εν μέρει με μετρητά αποτελούν το 24,9 % του συνόλου των μεταβιβάσεων (μία στις τέσσερις).</w:t>
      </w:r>
    </w:p>
    <w:p w14:paraId="7F49B94D" w14:textId="77777777" w:rsidR="00DF2C0E" w:rsidRDefault="00DF2C0E" w:rsidP="000358D9">
      <w:pPr>
        <w:spacing w:after="0"/>
        <w:jc w:val="both"/>
        <w:rPr>
          <w:rFonts w:cstheme="minorHAnsi"/>
          <w:sz w:val="24"/>
          <w:szCs w:val="24"/>
        </w:rPr>
      </w:pPr>
    </w:p>
    <w:p w14:paraId="7F0797C3" w14:textId="7DABCA9C" w:rsidR="000358D9" w:rsidRPr="000358D9" w:rsidRDefault="000358D9" w:rsidP="000358D9">
      <w:pPr>
        <w:spacing w:after="0"/>
        <w:jc w:val="both"/>
        <w:rPr>
          <w:rFonts w:cstheme="minorHAnsi"/>
          <w:sz w:val="24"/>
          <w:szCs w:val="24"/>
        </w:rPr>
      </w:pPr>
      <w:r w:rsidRPr="000358D9">
        <w:rPr>
          <w:rFonts w:cstheme="minorHAnsi"/>
          <w:sz w:val="24"/>
          <w:szCs w:val="24"/>
        </w:rPr>
        <w:t>6.</w:t>
      </w:r>
      <w:r w:rsidR="00DF2C0E">
        <w:rPr>
          <w:rFonts w:cstheme="minorHAnsi"/>
          <w:sz w:val="24"/>
          <w:szCs w:val="24"/>
        </w:rPr>
        <w:t xml:space="preserve"> </w:t>
      </w:r>
      <w:r w:rsidRPr="000358D9">
        <w:rPr>
          <w:rFonts w:cstheme="minorHAnsi"/>
          <w:sz w:val="24"/>
          <w:szCs w:val="24"/>
        </w:rPr>
        <w:t xml:space="preserve">Ενεργοποιείται το </w:t>
      </w:r>
      <w:r w:rsidRPr="000358D9">
        <w:rPr>
          <w:rFonts w:cstheme="minorHAnsi"/>
          <w:b/>
          <w:sz w:val="24"/>
          <w:szCs w:val="24"/>
        </w:rPr>
        <w:t>ψηφιακό δελτίο αποστολής</w:t>
      </w:r>
      <w:r w:rsidRPr="000358D9">
        <w:rPr>
          <w:rFonts w:cstheme="minorHAnsi"/>
          <w:sz w:val="24"/>
          <w:szCs w:val="24"/>
        </w:rPr>
        <w:t xml:space="preserve"> (πιλοτικά από τις αρχές του 2024 και πλήρως πριν από το τέλος του ίδιου έτους) με στόχο να γίνεται σε πραγματικό χρόνο (</w:t>
      </w:r>
      <w:proofErr w:type="spellStart"/>
      <w:r w:rsidRPr="000358D9">
        <w:rPr>
          <w:rFonts w:cstheme="minorHAnsi"/>
          <w:sz w:val="24"/>
          <w:szCs w:val="24"/>
        </w:rPr>
        <w:t>real</w:t>
      </w:r>
      <w:proofErr w:type="spellEnd"/>
      <w:r w:rsidRPr="000358D9">
        <w:rPr>
          <w:rFonts w:cstheme="minorHAnsi"/>
          <w:sz w:val="24"/>
          <w:szCs w:val="24"/>
        </w:rPr>
        <w:t xml:space="preserve"> </w:t>
      </w:r>
      <w:proofErr w:type="spellStart"/>
      <w:r w:rsidRPr="000358D9">
        <w:rPr>
          <w:rFonts w:cstheme="minorHAnsi"/>
          <w:sz w:val="24"/>
          <w:szCs w:val="24"/>
        </w:rPr>
        <w:t>time</w:t>
      </w:r>
      <w:proofErr w:type="spellEnd"/>
      <w:r w:rsidRPr="000358D9">
        <w:rPr>
          <w:rFonts w:cstheme="minorHAnsi"/>
          <w:sz w:val="24"/>
          <w:szCs w:val="24"/>
        </w:rPr>
        <w:t>) η παρακολούθηση των διακινούμενων αγαθών.</w:t>
      </w:r>
    </w:p>
    <w:p w14:paraId="239CFA96" w14:textId="77777777" w:rsidR="00DF2C0E" w:rsidRDefault="00DF2C0E" w:rsidP="000358D9">
      <w:pPr>
        <w:spacing w:after="0"/>
        <w:jc w:val="both"/>
        <w:rPr>
          <w:rFonts w:cstheme="minorHAnsi"/>
          <w:sz w:val="24"/>
          <w:szCs w:val="24"/>
        </w:rPr>
      </w:pPr>
    </w:p>
    <w:p w14:paraId="61561A7C" w14:textId="1B082C6C" w:rsidR="000358D9" w:rsidRPr="000358D9" w:rsidRDefault="000358D9" w:rsidP="000358D9">
      <w:pPr>
        <w:spacing w:after="0"/>
        <w:jc w:val="both"/>
        <w:rPr>
          <w:rFonts w:cstheme="minorHAnsi"/>
          <w:sz w:val="24"/>
          <w:szCs w:val="24"/>
        </w:rPr>
      </w:pPr>
      <w:r w:rsidRPr="000358D9">
        <w:rPr>
          <w:rFonts w:cstheme="minorHAnsi"/>
          <w:sz w:val="24"/>
          <w:szCs w:val="24"/>
        </w:rPr>
        <w:t>7.</w:t>
      </w:r>
      <w:r w:rsidR="00DF2C0E">
        <w:rPr>
          <w:rFonts w:cstheme="minorHAnsi"/>
          <w:sz w:val="24"/>
          <w:szCs w:val="24"/>
        </w:rPr>
        <w:t xml:space="preserve"> </w:t>
      </w:r>
      <w:r w:rsidRPr="000358D9">
        <w:rPr>
          <w:rFonts w:cstheme="minorHAnsi"/>
          <w:sz w:val="24"/>
          <w:szCs w:val="24"/>
        </w:rPr>
        <w:t xml:space="preserve">Αυξάνεται το πρόστιμο χρήσης </w:t>
      </w:r>
      <w:r w:rsidRPr="000358D9">
        <w:rPr>
          <w:rFonts w:cstheme="minorHAnsi"/>
          <w:b/>
          <w:sz w:val="24"/>
          <w:szCs w:val="24"/>
        </w:rPr>
        <w:t>μετρητών</w:t>
      </w:r>
      <w:r w:rsidRPr="000358D9">
        <w:rPr>
          <w:rFonts w:cstheme="minorHAnsi"/>
          <w:sz w:val="24"/>
          <w:szCs w:val="24"/>
        </w:rPr>
        <w:t xml:space="preserve"> άνω των 500 ευρώ, σε ποσό διπλάσιο της συναλλαγής, με ενίσχυση των ελέγχων για εφαρμογή του μέτρου μέσω ψηφιακής πληροφόρησης.</w:t>
      </w:r>
    </w:p>
    <w:p w14:paraId="1287A71A" w14:textId="77777777" w:rsidR="00DF2C0E" w:rsidRDefault="00DF2C0E" w:rsidP="000358D9">
      <w:pPr>
        <w:spacing w:after="0"/>
        <w:jc w:val="both"/>
        <w:rPr>
          <w:rFonts w:cstheme="minorHAnsi"/>
          <w:sz w:val="24"/>
          <w:szCs w:val="24"/>
        </w:rPr>
      </w:pPr>
    </w:p>
    <w:p w14:paraId="3F42F09F" w14:textId="347A508D" w:rsidR="000358D9" w:rsidRPr="000358D9" w:rsidRDefault="000358D9" w:rsidP="000358D9">
      <w:pPr>
        <w:spacing w:after="0"/>
        <w:jc w:val="both"/>
        <w:rPr>
          <w:rFonts w:cstheme="minorHAnsi"/>
          <w:sz w:val="24"/>
          <w:szCs w:val="24"/>
        </w:rPr>
      </w:pPr>
      <w:r w:rsidRPr="000358D9">
        <w:rPr>
          <w:rFonts w:cstheme="minorHAnsi"/>
          <w:sz w:val="24"/>
          <w:szCs w:val="24"/>
        </w:rPr>
        <w:t>8.</w:t>
      </w:r>
      <w:r w:rsidR="00DF2C0E">
        <w:rPr>
          <w:rFonts w:cstheme="minorHAnsi"/>
          <w:sz w:val="24"/>
          <w:szCs w:val="24"/>
        </w:rPr>
        <w:t xml:space="preserve"> </w:t>
      </w:r>
      <w:r w:rsidRPr="000358D9">
        <w:rPr>
          <w:rFonts w:cstheme="minorHAnsi"/>
          <w:sz w:val="24"/>
          <w:szCs w:val="24"/>
        </w:rPr>
        <w:t xml:space="preserve">Θεσμοθετείται η πληρωμή της πλειονότητας των </w:t>
      </w:r>
      <w:r w:rsidRPr="000358D9">
        <w:rPr>
          <w:rFonts w:cstheme="minorHAnsi"/>
          <w:b/>
          <w:sz w:val="24"/>
          <w:szCs w:val="24"/>
        </w:rPr>
        <w:t xml:space="preserve">κοινωνικών και </w:t>
      </w:r>
      <w:proofErr w:type="spellStart"/>
      <w:r w:rsidRPr="000358D9">
        <w:rPr>
          <w:rFonts w:cstheme="minorHAnsi"/>
          <w:b/>
          <w:sz w:val="24"/>
          <w:szCs w:val="24"/>
        </w:rPr>
        <w:t>προνοιακών</w:t>
      </w:r>
      <w:proofErr w:type="spellEnd"/>
      <w:r w:rsidRPr="000358D9">
        <w:rPr>
          <w:rFonts w:cstheme="minorHAnsi"/>
          <w:b/>
          <w:sz w:val="24"/>
          <w:szCs w:val="24"/>
        </w:rPr>
        <w:t xml:space="preserve"> επιδομάτω</w:t>
      </w:r>
      <w:r w:rsidRPr="000358D9">
        <w:rPr>
          <w:rFonts w:cstheme="minorHAnsi"/>
          <w:sz w:val="24"/>
          <w:szCs w:val="24"/>
        </w:rPr>
        <w:t xml:space="preserve">ν (επιδόματα τέκνων, επίδομα γέννησης, επιδόματα ανεργίας) μέσω χρεωστικών καρτών. Σε συνδυασμό με την διασύνδεση των ταμειακών μηχανών με τα </w:t>
      </w:r>
      <w:proofErr w:type="spellStart"/>
      <w:r w:rsidRPr="000358D9">
        <w:rPr>
          <w:rFonts w:cstheme="minorHAnsi"/>
          <w:sz w:val="24"/>
          <w:szCs w:val="24"/>
        </w:rPr>
        <w:t>POS</w:t>
      </w:r>
      <w:proofErr w:type="spellEnd"/>
      <w:r w:rsidRPr="000358D9">
        <w:rPr>
          <w:rFonts w:cstheme="minorHAnsi"/>
          <w:sz w:val="24"/>
          <w:szCs w:val="24"/>
        </w:rPr>
        <w:t>, το μέτρο αποκλείει την διοχέτευση των επιδομάτων προς την παραοικονομία.</w:t>
      </w:r>
    </w:p>
    <w:p w14:paraId="112CA1E2" w14:textId="77777777" w:rsidR="00DF2C0E" w:rsidRDefault="00DF2C0E" w:rsidP="000358D9">
      <w:pPr>
        <w:spacing w:after="0"/>
        <w:jc w:val="both"/>
        <w:rPr>
          <w:rFonts w:cstheme="minorHAnsi"/>
          <w:sz w:val="24"/>
          <w:szCs w:val="24"/>
        </w:rPr>
      </w:pPr>
    </w:p>
    <w:p w14:paraId="0615DAFB" w14:textId="30964D9F" w:rsidR="000358D9" w:rsidRPr="000358D9" w:rsidRDefault="000358D9" w:rsidP="000358D9">
      <w:pPr>
        <w:spacing w:after="0"/>
        <w:jc w:val="both"/>
        <w:rPr>
          <w:rFonts w:cstheme="minorHAnsi"/>
          <w:sz w:val="24"/>
          <w:szCs w:val="24"/>
        </w:rPr>
      </w:pPr>
      <w:r w:rsidRPr="000358D9">
        <w:rPr>
          <w:rFonts w:cstheme="minorHAnsi"/>
          <w:sz w:val="24"/>
          <w:szCs w:val="24"/>
        </w:rPr>
        <w:t>9.</w:t>
      </w:r>
      <w:r w:rsidR="00DF2C0E">
        <w:rPr>
          <w:rFonts w:cstheme="minorHAnsi"/>
          <w:sz w:val="24"/>
          <w:szCs w:val="24"/>
        </w:rPr>
        <w:t xml:space="preserve"> </w:t>
      </w:r>
      <w:r w:rsidRPr="000358D9">
        <w:rPr>
          <w:rFonts w:cstheme="minorHAnsi"/>
          <w:sz w:val="24"/>
          <w:szCs w:val="24"/>
        </w:rPr>
        <w:t xml:space="preserve">Αποκλείονται οι παραβάτες </w:t>
      </w:r>
      <w:r w:rsidRPr="000358D9">
        <w:rPr>
          <w:rFonts w:cstheme="minorHAnsi"/>
          <w:b/>
          <w:sz w:val="24"/>
          <w:szCs w:val="24"/>
        </w:rPr>
        <w:t>λαθρεμπορίας</w:t>
      </w:r>
      <w:r w:rsidRPr="000358D9">
        <w:rPr>
          <w:rFonts w:cstheme="minorHAnsi"/>
          <w:sz w:val="24"/>
          <w:szCs w:val="24"/>
        </w:rPr>
        <w:t xml:space="preserve"> από συνεργασία με όλες τις εταιρίες εμπορίας καυσίμων, με νομοθετική ρύθμιση με την οποία θεσμοθετείται η υποχρέωση λήψης μέτρων δέουσας επιμέλειας στην εφοδιαστική αλυσίδα καυσίμων, η δημιουργία μητρώου παραβατών και η απαγόρευση συνεργασίας με παραβάτες λαθρεμπορίας.</w:t>
      </w:r>
    </w:p>
    <w:p w14:paraId="7474FEAC" w14:textId="77777777" w:rsidR="00DF2C0E" w:rsidRDefault="00DF2C0E" w:rsidP="000358D9">
      <w:pPr>
        <w:spacing w:after="0"/>
        <w:jc w:val="both"/>
        <w:rPr>
          <w:rFonts w:cstheme="minorHAnsi"/>
          <w:sz w:val="24"/>
          <w:szCs w:val="24"/>
        </w:rPr>
      </w:pPr>
    </w:p>
    <w:p w14:paraId="0F7E9326" w14:textId="784B1BC3" w:rsidR="000358D9" w:rsidRPr="000358D9" w:rsidRDefault="000358D9" w:rsidP="000358D9">
      <w:pPr>
        <w:spacing w:after="0"/>
        <w:jc w:val="both"/>
        <w:rPr>
          <w:rFonts w:cstheme="minorHAnsi"/>
          <w:sz w:val="24"/>
          <w:szCs w:val="24"/>
        </w:rPr>
      </w:pPr>
      <w:r w:rsidRPr="000358D9">
        <w:rPr>
          <w:rFonts w:cstheme="minorHAnsi"/>
          <w:sz w:val="24"/>
          <w:szCs w:val="24"/>
        </w:rPr>
        <w:t>Στόχος, το νομοθετικό και κανονιστικό πλαίσιο να ενισχύσει την υποχρέωση και την ευθύνη όσων συμμετέχουν στην εφοδιαστική αλυσίδα καυσίμων να προβαίνουν στους αναγκαίους ελέγχους για τα πρόσωπα με τα οποία συναλλάσσονται και να λαμβάνουν τα κατάλληλα μέτρα για την καταπολέμηση του λαθρεμπορίου.</w:t>
      </w:r>
    </w:p>
    <w:p w14:paraId="0B7B4842" w14:textId="77777777" w:rsidR="00DF2C0E" w:rsidRDefault="00DF2C0E" w:rsidP="000358D9">
      <w:pPr>
        <w:spacing w:after="0"/>
        <w:jc w:val="both"/>
        <w:rPr>
          <w:rFonts w:cstheme="minorHAnsi"/>
          <w:sz w:val="24"/>
          <w:szCs w:val="24"/>
        </w:rPr>
      </w:pPr>
    </w:p>
    <w:p w14:paraId="05DFC29E" w14:textId="0B742017" w:rsidR="000358D9" w:rsidRPr="000358D9" w:rsidRDefault="000358D9" w:rsidP="000358D9">
      <w:pPr>
        <w:spacing w:after="0"/>
        <w:jc w:val="both"/>
        <w:rPr>
          <w:rFonts w:cstheme="minorHAnsi"/>
          <w:sz w:val="24"/>
          <w:szCs w:val="24"/>
        </w:rPr>
      </w:pPr>
      <w:r w:rsidRPr="000358D9">
        <w:rPr>
          <w:rFonts w:cstheme="minorHAnsi"/>
          <w:sz w:val="24"/>
          <w:szCs w:val="24"/>
        </w:rPr>
        <w:t xml:space="preserve">10. Στον τομέα των </w:t>
      </w:r>
      <w:r w:rsidRPr="000358D9">
        <w:rPr>
          <w:rFonts w:cstheme="minorHAnsi"/>
          <w:b/>
          <w:sz w:val="24"/>
          <w:szCs w:val="24"/>
        </w:rPr>
        <w:t>βραχυχρόνιων μισθώσεων</w:t>
      </w:r>
      <w:r w:rsidRPr="000358D9">
        <w:rPr>
          <w:rFonts w:cstheme="minorHAnsi"/>
          <w:sz w:val="24"/>
          <w:szCs w:val="24"/>
        </w:rPr>
        <w:t xml:space="preserve"> θεσμοθετείται συνδυασμός παρεμβάσεων με στόχο την αντιμετώπιση αθέμιτου ανταγωνισμού με τα ξενοδοχεία (στις περιπτώσεις που η δραστηριότητα αυτά αποκτά επιχειρηματικά χαρακτηριστικά χωρίς, έως τώρα, να συνοδεύεται από τις αντίστοιχες υποχρεώσεις)</w:t>
      </w:r>
      <w:r w:rsidR="00DF2C0E">
        <w:rPr>
          <w:rFonts w:cstheme="minorHAnsi"/>
          <w:sz w:val="24"/>
          <w:szCs w:val="24"/>
        </w:rPr>
        <w:t>,</w:t>
      </w:r>
      <w:r w:rsidRPr="000358D9">
        <w:rPr>
          <w:rFonts w:cstheme="minorHAnsi"/>
          <w:sz w:val="24"/>
          <w:szCs w:val="24"/>
        </w:rPr>
        <w:t xml:space="preserve"> αλλά και την αντιμετώπιση των δευτερογενών αρνητικών επιπτώσεων στην κτηματαγορά και τα ενοίκια. Δεν θίγεται η ανάπτυξη των βραχυχρόνιων μισθώσεων </w:t>
      </w:r>
      <w:r w:rsidRPr="000358D9">
        <w:rPr>
          <w:rFonts w:cstheme="minorHAnsi"/>
          <w:sz w:val="24"/>
          <w:szCs w:val="24"/>
        </w:rPr>
        <w:lastRenderedPageBreak/>
        <w:t>που αποτελούν σημαντική πηγή εισοδήματος για χιλιάδες ιδιοκτήτες ακινήτων αλλά και για τη χώρα συνολικά.</w:t>
      </w:r>
    </w:p>
    <w:p w14:paraId="0AB98D73" w14:textId="77777777" w:rsidR="00DF2C0E" w:rsidRDefault="00DF2C0E" w:rsidP="000358D9">
      <w:pPr>
        <w:spacing w:after="0"/>
        <w:jc w:val="both"/>
        <w:rPr>
          <w:rFonts w:cstheme="minorHAnsi"/>
          <w:sz w:val="24"/>
          <w:szCs w:val="24"/>
        </w:rPr>
      </w:pPr>
    </w:p>
    <w:p w14:paraId="7439E882" w14:textId="138FB258" w:rsidR="000358D9" w:rsidRPr="000358D9" w:rsidRDefault="000358D9" w:rsidP="000358D9">
      <w:pPr>
        <w:spacing w:after="0"/>
        <w:jc w:val="both"/>
        <w:rPr>
          <w:rFonts w:cstheme="minorHAnsi"/>
          <w:sz w:val="24"/>
          <w:szCs w:val="24"/>
        </w:rPr>
      </w:pPr>
      <w:r w:rsidRPr="000358D9">
        <w:rPr>
          <w:rFonts w:cstheme="minorHAnsi"/>
          <w:sz w:val="24"/>
          <w:szCs w:val="24"/>
        </w:rPr>
        <w:t>Οι παρεμβάσεις περιλαμβάνουν τα εξής:</w:t>
      </w:r>
    </w:p>
    <w:p w14:paraId="3F994C45" w14:textId="77777777" w:rsidR="00920F14" w:rsidRDefault="00920F14" w:rsidP="000358D9">
      <w:pPr>
        <w:spacing w:after="0"/>
        <w:jc w:val="both"/>
        <w:rPr>
          <w:rFonts w:cstheme="minorHAnsi"/>
          <w:sz w:val="24"/>
          <w:szCs w:val="24"/>
        </w:rPr>
      </w:pPr>
    </w:p>
    <w:p w14:paraId="6C99BD82" w14:textId="3259F1AD" w:rsidR="000358D9" w:rsidRPr="000358D9" w:rsidRDefault="000358D9" w:rsidP="000358D9">
      <w:pPr>
        <w:spacing w:after="0"/>
        <w:jc w:val="both"/>
        <w:rPr>
          <w:rFonts w:cstheme="minorHAnsi"/>
          <w:sz w:val="24"/>
          <w:szCs w:val="24"/>
        </w:rPr>
      </w:pPr>
      <w:r w:rsidRPr="000358D9">
        <w:rPr>
          <w:rFonts w:cstheme="minorHAnsi"/>
          <w:sz w:val="24"/>
          <w:szCs w:val="24"/>
        </w:rPr>
        <w:t xml:space="preserve">1. Τροποποίηση ορισμού της Βραχυχρόνιας Μίσθωσης: Βραχυχρόνια μίσθωση θα ορίζεται η μίσθωση ή υπεκμίσθωση για συγκεκριμένη χρονική διάρκεια, </w:t>
      </w:r>
      <w:r w:rsidRPr="000358D9">
        <w:rPr>
          <w:rFonts w:cstheme="minorHAnsi"/>
          <w:b/>
          <w:sz w:val="24"/>
          <w:szCs w:val="24"/>
        </w:rPr>
        <w:t>μικρότερη των 60 ημερών</w:t>
      </w:r>
      <w:r w:rsidRPr="000358D9">
        <w:rPr>
          <w:rFonts w:cstheme="minorHAnsi"/>
          <w:sz w:val="24"/>
          <w:szCs w:val="24"/>
        </w:rPr>
        <w:t xml:space="preserve">, ακινήτου που είναι αναρτημένο σε ψηφιακή πλατφόρμα και εφόσον </w:t>
      </w:r>
      <w:r w:rsidRPr="000358D9">
        <w:rPr>
          <w:rFonts w:cstheme="minorHAnsi"/>
          <w:b/>
          <w:sz w:val="24"/>
          <w:szCs w:val="24"/>
        </w:rPr>
        <w:t>δεν παρέχονται άλλες υπηρεσίες</w:t>
      </w:r>
      <w:r w:rsidRPr="000358D9">
        <w:rPr>
          <w:rFonts w:cstheme="minorHAnsi"/>
          <w:sz w:val="24"/>
          <w:szCs w:val="24"/>
        </w:rPr>
        <w:t xml:space="preserve"> πλην της διαμονής και της παροχής κλινοσκεπασμάτων.</w:t>
      </w:r>
    </w:p>
    <w:p w14:paraId="511A59F7" w14:textId="77777777" w:rsidR="00920F14" w:rsidRDefault="00920F14" w:rsidP="000358D9">
      <w:pPr>
        <w:spacing w:after="0"/>
        <w:jc w:val="both"/>
        <w:rPr>
          <w:rFonts w:cstheme="minorHAnsi"/>
          <w:sz w:val="24"/>
          <w:szCs w:val="24"/>
        </w:rPr>
      </w:pPr>
    </w:p>
    <w:p w14:paraId="61080ED9" w14:textId="33153EE3" w:rsidR="000358D9" w:rsidRPr="000358D9" w:rsidRDefault="000358D9" w:rsidP="000358D9">
      <w:pPr>
        <w:spacing w:after="0"/>
        <w:jc w:val="both"/>
        <w:rPr>
          <w:rFonts w:cstheme="minorHAnsi"/>
          <w:sz w:val="24"/>
          <w:szCs w:val="24"/>
        </w:rPr>
      </w:pPr>
      <w:r w:rsidRPr="000358D9">
        <w:rPr>
          <w:rFonts w:cstheme="minorHAnsi"/>
          <w:sz w:val="24"/>
          <w:szCs w:val="24"/>
        </w:rPr>
        <w:t>2.</w:t>
      </w:r>
      <w:r w:rsidR="00920F14">
        <w:rPr>
          <w:rFonts w:cstheme="minorHAnsi"/>
          <w:sz w:val="24"/>
          <w:szCs w:val="24"/>
        </w:rPr>
        <w:t xml:space="preserve"> </w:t>
      </w:r>
      <w:r w:rsidRPr="000358D9">
        <w:rPr>
          <w:rFonts w:cstheme="minorHAnsi"/>
          <w:sz w:val="24"/>
          <w:szCs w:val="24"/>
        </w:rPr>
        <w:t xml:space="preserve">Δημιουργείται νέος </w:t>
      </w:r>
      <w:r w:rsidRPr="000358D9">
        <w:rPr>
          <w:rFonts w:cstheme="minorHAnsi"/>
          <w:b/>
          <w:sz w:val="24"/>
          <w:szCs w:val="24"/>
        </w:rPr>
        <w:t>Κωδικός Αριθμός Δραστηριότητας</w:t>
      </w:r>
      <w:r w:rsidRPr="000358D9">
        <w:rPr>
          <w:rFonts w:cstheme="minorHAnsi"/>
          <w:sz w:val="24"/>
          <w:szCs w:val="24"/>
        </w:rPr>
        <w:t xml:space="preserve"> (</w:t>
      </w:r>
      <w:proofErr w:type="spellStart"/>
      <w:r w:rsidRPr="000358D9">
        <w:rPr>
          <w:rFonts w:cstheme="minorHAnsi"/>
          <w:sz w:val="24"/>
          <w:szCs w:val="24"/>
        </w:rPr>
        <w:t>ΚΑΔ</w:t>
      </w:r>
      <w:proofErr w:type="spellEnd"/>
      <w:r w:rsidRPr="000358D9">
        <w:rPr>
          <w:rFonts w:cstheme="minorHAnsi"/>
          <w:sz w:val="24"/>
          <w:szCs w:val="24"/>
        </w:rPr>
        <w:t xml:space="preserve">) ειδικά για Βραχυχρόνια Μίσθωση. Όλα τα νομικά πρόσωπα και τα φυσικά που ασκούν επιχειρηματική δραστηριότητα βραχυχρόνιας μίσθωσης θα υποχρεούνται σε έναρξη ή προσθήκη δραστηριότητας με βάση τον νέο </w:t>
      </w:r>
      <w:proofErr w:type="spellStart"/>
      <w:r w:rsidRPr="000358D9">
        <w:rPr>
          <w:rFonts w:cstheme="minorHAnsi"/>
          <w:sz w:val="24"/>
          <w:szCs w:val="24"/>
        </w:rPr>
        <w:t>ΚΑΔ</w:t>
      </w:r>
      <w:proofErr w:type="spellEnd"/>
      <w:r w:rsidRPr="000358D9">
        <w:rPr>
          <w:rFonts w:cstheme="minorHAnsi"/>
          <w:sz w:val="24"/>
          <w:szCs w:val="24"/>
        </w:rPr>
        <w:t>.</w:t>
      </w:r>
    </w:p>
    <w:p w14:paraId="69D7CF34" w14:textId="77777777" w:rsidR="00920F14" w:rsidRDefault="00920F14" w:rsidP="000358D9">
      <w:pPr>
        <w:spacing w:after="0"/>
        <w:jc w:val="both"/>
        <w:rPr>
          <w:rFonts w:cstheme="minorHAnsi"/>
          <w:sz w:val="24"/>
          <w:szCs w:val="24"/>
        </w:rPr>
      </w:pPr>
    </w:p>
    <w:p w14:paraId="0D2E86F5" w14:textId="1734E538" w:rsidR="000358D9" w:rsidRDefault="000358D9" w:rsidP="000358D9">
      <w:pPr>
        <w:spacing w:after="0"/>
        <w:jc w:val="both"/>
        <w:rPr>
          <w:rFonts w:cstheme="minorHAnsi"/>
          <w:sz w:val="24"/>
          <w:szCs w:val="24"/>
        </w:rPr>
      </w:pPr>
      <w:r w:rsidRPr="000358D9">
        <w:rPr>
          <w:rFonts w:cstheme="minorHAnsi"/>
          <w:sz w:val="24"/>
          <w:szCs w:val="24"/>
        </w:rPr>
        <w:t>3.</w:t>
      </w:r>
      <w:r w:rsidR="00920F14">
        <w:rPr>
          <w:rFonts w:cstheme="minorHAnsi"/>
          <w:sz w:val="24"/>
          <w:szCs w:val="24"/>
        </w:rPr>
        <w:t xml:space="preserve"> </w:t>
      </w:r>
      <w:r w:rsidRPr="000358D9">
        <w:rPr>
          <w:rFonts w:cstheme="minorHAnsi"/>
          <w:sz w:val="24"/>
          <w:szCs w:val="24"/>
        </w:rPr>
        <w:t xml:space="preserve">Υποχρέωση έναρξης </w:t>
      </w:r>
      <w:r w:rsidRPr="000358D9">
        <w:rPr>
          <w:rFonts w:cstheme="minorHAnsi"/>
          <w:b/>
          <w:sz w:val="24"/>
          <w:szCs w:val="24"/>
        </w:rPr>
        <w:t>επιχειρηματικής δραστηριότητας</w:t>
      </w:r>
      <w:r w:rsidRPr="000358D9">
        <w:rPr>
          <w:rFonts w:cstheme="minorHAnsi"/>
          <w:sz w:val="24"/>
          <w:szCs w:val="24"/>
        </w:rPr>
        <w:t xml:space="preserve"> για φυσικά πρόσωπα που διαθέτουν σε ψηφιακή πλατφόρμα </w:t>
      </w:r>
      <w:r w:rsidRPr="000358D9">
        <w:rPr>
          <w:rFonts w:cstheme="minorHAnsi"/>
          <w:b/>
          <w:sz w:val="24"/>
          <w:szCs w:val="24"/>
        </w:rPr>
        <w:t>τρία ή περισσότερα</w:t>
      </w:r>
      <w:r w:rsidRPr="000358D9">
        <w:rPr>
          <w:rFonts w:cstheme="minorHAnsi"/>
          <w:sz w:val="24"/>
          <w:szCs w:val="24"/>
        </w:rPr>
        <w:t xml:space="preserve"> προς εκμίσθωση/υπεκμίσθωση για σκοπούς βραχυχρόνιας μίσθωσης. Με την συγκεκριμένη παρέμβαση οι ιδιώτες που αναρτούν προς μίσθωση (ή υπεκμίσθωση) τρία ή περισσότερα ακίνητα σε ψηφιακή πλατφόρμα, θα καθίστανται επιχειρήσεις (ατομική ή νομικό πρόσωπο) και θα υποχρεούνται σε έναρξη όπως υποχρεούνται ήδη τα νομικά πρόσωπα που ασκούν την συγκεκριμένη δραστηριότητα, (με ανάλογες ασφαλιστικές εισφορές, τέλος επιτηδεύματος και ΦΠΑ από το πρώτο ακίνητο).</w:t>
      </w:r>
    </w:p>
    <w:p w14:paraId="369E7205" w14:textId="77777777" w:rsidR="00920F14" w:rsidRPr="000358D9" w:rsidRDefault="00920F14" w:rsidP="000358D9">
      <w:pPr>
        <w:spacing w:after="0"/>
        <w:jc w:val="both"/>
        <w:rPr>
          <w:rFonts w:cstheme="minorHAnsi"/>
          <w:sz w:val="24"/>
          <w:szCs w:val="24"/>
        </w:rPr>
      </w:pPr>
    </w:p>
    <w:p w14:paraId="7885C6E2" w14:textId="77777777" w:rsidR="0057782E" w:rsidRDefault="000358D9" w:rsidP="000358D9">
      <w:pPr>
        <w:spacing w:after="0"/>
        <w:jc w:val="both"/>
        <w:rPr>
          <w:rFonts w:cstheme="minorHAnsi"/>
          <w:sz w:val="24"/>
          <w:szCs w:val="24"/>
        </w:rPr>
      </w:pPr>
      <w:r w:rsidRPr="000358D9">
        <w:rPr>
          <w:rFonts w:cstheme="minorHAnsi"/>
          <w:sz w:val="24"/>
          <w:szCs w:val="24"/>
        </w:rPr>
        <w:t xml:space="preserve">4. Επιβολή </w:t>
      </w:r>
      <w:r w:rsidRPr="000358D9">
        <w:rPr>
          <w:rFonts w:cstheme="minorHAnsi"/>
          <w:b/>
          <w:sz w:val="24"/>
          <w:szCs w:val="24"/>
        </w:rPr>
        <w:t>ΦΠΑ</w:t>
      </w:r>
      <w:r w:rsidRPr="000358D9">
        <w:rPr>
          <w:rFonts w:cstheme="minorHAnsi"/>
          <w:sz w:val="24"/>
          <w:szCs w:val="24"/>
        </w:rPr>
        <w:t xml:space="preserve">, </w:t>
      </w:r>
      <w:r w:rsidRPr="000358D9">
        <w:rPr>
          <w:rFonts w:cstheme="minorHAnsi"/>
          <w:b/>
          <w:sz w:val="24"/>
          <w:szCs w:val="24"/>
        </w:rPr>
        <w:t xml:space="preserve">Τέλους </w:t>
      </w:r>
      <w:proofErr w:type="spellStart"/>
      <w:r w:rsidRPr="000358D9">
        <w:rPr>
          <w:rFonts w:cstheme="minorHAnsi"/>
          <w:b/>
          <w:sz w:val="24"/>
          <w:szCs w:val="24"/>
        </w:rPr>
        <w:t>Παρεπιδημούντων</w:t>
      </w:r>
      <w:proofErr w:type="spellEnd"/>
      <w:r w:rsidRPr="000358D9">
        <w:rPr>
          <w:rFonts w:cstheme="minorHAnsi"/>
          <w:sz w:val="24"/>
          <w:szCs w:val="24"/>
        </w:rPr>
        <w:t xml:space="preserve"> και </w:t>
      </w:r>
      <w:r w:rsidR="0057782E" w:rsidRPr="000358D9">
        <w:rPr>
          <w:rFonts w:cstheme="minorHAnsi"/>
          <w:b/>
          <w:sz w:val="24"/>
          <w:szCs w:val="24"/>
        </w:rPr>
        <w:t>τέλο</w:t>
      </w:r>
      <w:r w:rsidR="0057782E">
        <w:rPr>
          <w:rFonts w:cstheme="minorHAnsi"/>
          <w:b/>
          <w:sz w:val="24"/>
          <w:szCs w:val="24"/>
        </w:rPr>
        <w:t>υ</w:t>
      </w:r>
      <w:r w:rsidR="0057782E" w:rsidRPr="000358D9">
        <w:rPr>
          <w:rFonts w:cstheme="minorHAnsi"/>
          <w:b/>
          <w:sz w:val="24"/>
          <w:szCs w:val="24"/>
        </w:rPr>
        <w:t>ς αντιμετώπισης των συνεπειών της κλιματικής αλλαγής</w:t>
      </w:r>
      <w:r w:rsidR="0057782E">
        <w:rPr>
          <w:rFonts w:cstheme="minorHAnsi"/>
          <w:b/>
          <w:sz w:val="24"/>
          <w:szCs w:val="24"/>
        </w:rPr>
        <w:t xml:space="preserve"> που αντικαθιστά το φόρο διαμονής</w:t>
      </w:r>
      <w:r w:rsidRPr="000358D9">
        <w:rPr>
          <w:rFonts w:cstheme="minorHAnsi"/>
          <w:sz w:val="24"/>
          <w:szCs w:val="24"/>
        </w:rPr>
        <w:t xml:space="preserve">: Για τους εκμισθωτές/ υπεκμισθωτές νομικά πρόσωπα/ατομικές επιχειρήσεις με </w:t>
      </w:r>
      <w:proofErr w:type="spellStart"/>
      <w:r w:rsidRPr="000358D9">
        <w:rPr>
          <w:rFonts w:cstheme="minorHAnsi"/>
          <w:sz w:val="24"/>
          <w:szCs w:val="24"/>
        </w:rPr>
        <w:t>ΚΑΔ</w:t>
      </w:r>
      <w:proofErr w:type="spellEnd"/>
      <w:r w:rsidRPr="000358D9">
        <w:rPr>
          <w:rFonts w:cstheme="minorHAnsi"/>
          <w:sz w:val="24"/>
          <w:szCs w:val="24"/>
        </w:rPr>
        <w:t xml:space="preserve"> βραχυχρόνιας μίσθωσης: α) το εισόδημα από βραχυχρόνιες μισθώσεις ακινήτων θα υπόκειται σε ΦΠΑ, β) θα υπόκεινται σε τέλος </w:t>
      </w:r>
      <w:proofErr w:type="spellStart"/>
      <w:r w:rsidRPr="000358D9">
        <w:rPr>
          <w:rFonts w:cstheme="minorHAnsi"/>
          <w:sz w:val="24"/>
          <w:szCs w:val="24"/>
        </w:rPr>
        <w:t>Παρεπιδημούντων</w:t>
      </w:r>
      <w:proofErr w:type="spellEnd"/>
      <w:r w:rsidRPr="000358D9">
        <w:rPr>
          <w:rFonts w:cstheme="minorHAnsi"/>
          <w:sz w:val="24"/>
          <w:szCs w:val="24"/>
        </w:rPr>
        <w:t xml:space="preserve"> και γ) θα υπόκεινται σε </w:t>
      </w:r>
      <w:r w:rsidR="0057782E" w:rsidRPr="000358D9">
        <w:rPr>
          <w:rFonts w:cstheme="minorHAnsi"/>
          <w:b/>
          <w:sz w:val="24"/>
          <w:szCs w:val="24"/>
        </w:rPr>
        <w:t>τέλος αντιμετώπισης των συνεπειών της κλιματικής αλλαγής</w:t>
      </w:r>
      <w:r w:rsidR="0057782E" w:rsidRPr="000358D9">
        <w:rPr>
          <w:rFonts w:cstheme="minorHAnsi"/>
          <w:sz w:val="24"/>
          <w:szCs w:val="24"/>
        </w:rPr>
        <w:t xml:space="preserve"> </w:t>
      </w:r>
      <w:r w:rsidR="0057782E">
        <w:rPr>
          <w:rFonts w:cstheme="minorHAnsi"/>
          <w:sz w:val="24"/>
          <w:szCs w:val="24"/>
        </w:rPr>
        <w:t xml:space="preserve">που αντικαθιστά το </w:t>
      </w:r>
      <w:r w:rsidRPr="000358D9">
        <w:rPr>
          <w:rFonts w:cstheme="minorHAnsi"/>
          <w:sz w:val="24"/>
          <w:szCs w:val="24"/>
        </w:rPr>
        <w:t>φόρο διαμονής</w:t>
      </w:r>
      <w:r w:rsidR="0057782E">
        <w:rPr>
          <w:rFonts w:cstheme="minorHAnsi"/>
          <w:sz w:val="24"/>
          <w:szCs w:val="24"/>
        </w:rPr>
        <w:t>.</w:t>
      </w:r>
    </w:p>
    <w:p w14:paraId="0BBA3B93" w14:textId="77777777" w:rsidR="0057782E" w:rsidRDefault="0057782E" w:rsidP="000358D9">
      <w:pPr>
        <w:spacing w:after="0"/>
        <w:jc w:val="both"/>
        <w:rPr>
          <w:rFonts w:cstheme="minorHAnsi"/>
          <w:sz w:val="24"/>
          <w:szCs w:val="24"/>
        </w:rPr>
      </w:pPr>
    </w:p>
    <w:p w14:paraId="7EE2113D" w14:textId="028C1CEB" w:rsidR="000358D9" w:rsidRDefault="000358D9" w:rsidP="000358D9">
      <w:pPr>
        <w:spacing w:after="0"/>
        <w:jc w:val="both"/>
        <w:rPr>
          <w:rFonts w:cstheme="minorHAnsi"/>
          <w:i/>
          <w:sz w:val="24"/>
          <w:szCs w:val="24"/>
        </w:rPr>
      </w:pPr>
      <w:r w:rsidRPr="000358D9">
        <w:rPr>
          <w:rFonts w:cstheme="minorHAnsi"/>
          <w:sz w:val="24"/>
          <w:szCs w:val="24"/>
        </w:rPr>
        <w:t xml:space="preserve">Επισημαίνεται ότι </w:t>
      </w:r>
      <w:r w:rsidR="0057782E">
        <w:rPr>
          <w:rFonts w:cstheme="minorHAnsi"/>
          <w:sz w:val="24"/>
          <w:szCs w:val="24"/>
        </w:rPr>
        <w:t xml:space="preserve">το νέο τέλος που αντικαθιστά το </w:t>
      </w:r>
      <w:r w:rsidRPr="000358D9">
        <w:rPr>
          <w:rFonts w:cstheme="minorHAnsi"/>
          <w:sz w:val="24"/>
          <w:szCs w:val="24"/>
        </w:rPr>
        <w:t xml:space="preserve">φόρο διαμονής, θα </w:t>
      </w:r>
      <w:r w:rsidR="0057782E">
        <w:rPr>
          <w:rFonts w:cstheme="minorHAnsi"/>
          <w:sz w:val="24"/>
          <w:szCs w:val="24"/>
        </w:rPr>
        <w:t xml:space="preserve">ισχύει </w:t>
      </w:r>
      <w:r w:rsidRPr="000358D9">
        <w:rPr>
          <w:rFonts w:cstheme="minorHAnsi"/>
          <w:sz w:val="24"/>
          <w:szCs w:val="24"/>
        </w:rPr>
        <w:t xml:space="preserve">και </w:t>
      </w:r>
      <w:r w:rsidR="0057782E">
        <w:rPr>
          <w:rFonts w:cstheme="minorHAnsi"/>
          <w:sz w:val="24"/>
          <w:szCs w:val="24"/>
        </w:rPr>
        <w:t xml:space="preserve">για τις </w:t>
      </w:r>
      <w:r w:rsidRPr="000358D9">
        <w:rPr>
          <w:rFonts w:cstheme="minorHAnsi"/>
          <w:sz w:val="24"/>
          <w:szCs w:val="24"/>
        </w:rPr>
        <w:t xml:space="preserve">βραχυχρόνιες μισθώσεις των εκμισθωτών/υπεκμισθωτών φυσικών προσώπων (ιδιωτών) με ένα ή δύο ακίνητα. </w:t>
      </w:r>
      <w:r w:rsidRPr="000358D9">
        <w:rPr>
          <w:rFonts w:cstheme="minorHAnsi"/>
          <w:i/>
          <w:sz w:val="24"/>
          <w:szCs w:val="24"/>
        </w:rPr>
        <w:t>(περισσότερες πληροφορίες για το τέλος αντιμετώπισης των συνεπειών της κλιματικής αλλαγής στο τέλος του σημειώματος, στην ενότητα για τις φυσικές καταστροφές).</w:t>
      </w:r>
    </w:p>
    <w:p w14:paraId="0205052F" w14:textId="77777777" w:rsidR="00920F14" w:rsidRPr="000358D9" w:rsidRDefault="00920F14" w:rsidP="000358D9">
      <w:pPr>
        <w:spacing w:after="0"/>
        <w:jc w:val="both"/>
        <w:rPr>
          <w:rFonts w:cstheme="minorHAnsi"/>
          <w:sz w:val="24"/>
          <w:szCs w:val="24"/>
        </w:rPr>
      </w:pPr>
    </w:p>
    <w:p w14:paraId="65ED1CD8" w14:textId="77777777" w:rsidR="00920F14" w:rsidRDefault="00920F14" w:rsidP="000358D9">
      <w:pPr>
        <w:spacing w:after="0"/>
        <w:jc w:val="both"/>
        <w:rPr>
          <w:rFonts w:cstheme="minorHAnsi"/>
          <w:sz w:val="24"/>
          <w:szCs w:val="24"/>
        </w:rPr>
      </w:pPr>
    </w:p>
    <w:p w14:paraId="2A1197D9" w14:textId="77777777" w:rsidR="00920F14" w:rsidRDefault="00920F14" w:rsidP="000358D9">
      <w:pPr>
        <w:spacing w:after="0"/>
        <w:jc w:val="both"/>
        <w:rPr>
          <w:rFonts w:cstheme="minorHAnsi"/>
          <w:sz w:val="24"/>
          <w:szCs w:val="24"/>
        </w:rPr>
      </w:pPr>
    </w:p>
    <w:p w14:paraId="5F70E03D" w14:textId="77777777" w:rsidR="00920F14" w:rsidRDefault="00920F14" w:rsidP="000358D9">
      <w:pPr>
        <w:spacing w:after="0"/>
        <w:jc w:val="both"/>
        <w:rPr>
          <w:rFonts w:cstheme="minorHAnsi"/>
          <w:sz w:val="24"/>
          <w:szCs w:val="24"/>
        </w:rPr>
      </w:pPr>
    </w:p>
    <w:p w14:paraId="1D2ADBBD" w14:textId="77777777" w:rsidR="00920F14" w:rsidRDefault="00920F14" w:rsidP="000358D9">
      <w:pPr>
        <w:spacing w:after="0"/>
        <w:jc w:val="both"/>
        <w:rPr>
          <w:rFonts w:cstheme="minorHAnsi"/>
          <w:sz w:val="24"/>
          <w:szCs w:val="24"/>
        </w:rPr>
      </w:pPr>
    </w:p>
    <w:p w14:paraId="03B5BD67" w14:textId="77777777" w:rsidR="00920F14" w:rsidRDefault="00920F14" w:rsidP="000358D9">
      <w:pPr>
        <w:spacing w:after="0"/>
        <w:jc w:val="both"/>
        <w:rPr>
          <w:rFonts w:cstheme="minorHAnsi"/>
          <w:sz w:val="24"/>
          <w:szCs w:val="24"/>
        </w:rPr>
      </w:pPr>
    </w:p>
    <w:p w14:paraId="398E6ECC" w14:textId="77777777" w:rsidR="00920F14" w:rsidRDefault="00920F14" w:rsidP="000358D9">
      <w:pPr>
        <w:spacing w:after="0"/>
        <w:jc w:val="both"/>
        <w:rPr>
          <w:rFonts w:cstheme="minorHAnsi"/>
          <w:sz w:val="24"/>
          <w:szCs w:val="24"/>
        </w:rPr>
      </w:pPr>
    </w:p>
    <w:p w14:paraId="41BC546F" w14:textId="6FA10205" w:rsidR="000358D9" w:rsidRDefault="000358D9" w:rsidP="000358D9">
      <w:pPr>
        <w:spacing w:after="0"/>
        <w:jc w:val="both"/>
        <w:rPr>
          <w:rFonts w:cstheme="minorHAnsi"/>
          <w:sz w:val="24"/>
          <w:szCs w:val="24"/>
        </w:rPr>
      </w:pPr>
      <w:r w:rsidRPr="000358D9">
        <w:rPr>
          <w:rFonts w:cstheme="minorHAnsi"/>
          <w:sz w:val="24"/>
          <w:szCs w:val="24"/>
        </w:rPr>
        <w:t xml:space="preserve">Η παλιά κλίμακα του φόρου διαμονής </w:t>
      </w:r>
      <w:r w:rsidR="00422834">
        <w:rPr>
          <w:rFonts w:cstheme="minorHAnsi"/>
          <w:sz w:val="24"/>
          <w:szCs w:val="24"/>
        </w:rPr>
        <w:t xml:space="preserve">και το νέο </w:t>
      </w:r>
      <w:r w:rsidR="00422834" w:rsidRPr="000358D9">
        <w:rPr>
          <w:rFonts w:cstheme="minorHAnsi"/>
          <w:b/>
          <w:sz w:val="24"/>
          <w:szCs w:val="24"/>
        </w:rPr>
        <w:t>τέλος αντιμετώπισης των συνεπειών της κλιματικής αλλαγής</w:t>
      </w:r>
      <w:r w:rsidR="00422834" w:rsidRPr="000358D9">
        <w:rPr>
          <w:rFonts w:cstheme="minorHAnsi"/>
          <w:sz w:val="24"/>
          <w:szCs w:val="24"/>
        </w:rPr>
        <w:t xml:space="preserve"> </w:t>
      </w:r>
      <w:r w:rsidR="002F3CED">
        <w:rPr>
          <w:rFonts w:cstheme="minorHAnsi"/>
          <w:sz w:val="24"/>
          <w:szCs w:val="24"/>
        </w:rPr>
        <w:t xml:space="preserve">ανάλογα με την κατηγορία του καταλύματος </w:t>
      </w:r>
      <w:bookmarkStart w:id="0" w:name="_GoBack"/>
      <w:bookmarkEnd w:id="0"/>
      <w:r w:rsidRPr="000358D9">
        <w:rPr>
          <w:rFonts w:cstheme="minorHAnsi"/>
          <w:sz w:val="24"/>
          <w:szCs w:val="24"/>
        </w:rPr>
        <w:t>έχ</w:t>
      </w:r>
      <w:r w:rsidR="00422834">
        <w:rPr>
          <w:rFonts w:cstheme="minorHAnsi"/>
          <w:sz w:val="24"/>
          <w:szCs w:val="24"/>
        </w:rPr>
        <w:t>ουν</w:t>
      </w:r>
      <w:r w:rsidRPr="000358D9">
        <w:rPr>
          <w:rFonts w:cstheme="minorHAnsi"/>
          <w:sz w:val="24"/>
          <w:szCs w:val="24"/>
        </w:rPr>
        <w:t xml:space="preserve"> ως εξής:</w:t>
      </w:r>
    </w:p>
    <w:p w14:paraId="7975F11C" w14:textId="77777777" w:rsidR="003E13DB" w:rsidRPr="000358D9" w:rsidRDefault="003E13DB" w:rsidP="000358D9">
      <w:pPr>
        <w:spacing w:after="0"/>
        <w:jc w:val="both"/>
        <w:rPr>
          <w:rFonts w:cstheme="minorHAnsi"/>
          <w:sz w:val="24"/>
          <w:szCs w:val="24"/>
        </w:rPr>
      </w:pPr>
    </w:p>
    <w:tbl>
      <w:tblPr>
        <w:tblW w:w="7797"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3"/>
        <w:gridCol w:w="1446"/>
        <w:gridCol w:w="1417"/>
        <w:gridCol w:w="1701"/>
      </w:tblGrid>
      <w:tr w:rsidR="000358D9" w:rsidRPr="000358D9" w14:paraId="070A4B45" w14:textId="77777777" w:rsidTr="009407C1">
        <w:trPr>
          <w:trHeight w:val="585"/>
        </w:trPr>
        <w:tc>
          <w:tcPr>
            <w:tcW w:w="3233" w:type="dxa"/>
            <w:tcBorders>
              <w:top w:val="single" w:sz="4" w:space="0" w:color="auto"/>
              <w:bottom w:val="single" w:sz="4" w:space="0" w:color="auto"/>
              <w:right w:val="single" w:sz="4" w:space="0" w:color="auto"/>
            </w:tcBorders>
            <w:shd w:val="clear" w:color="auto" w:fill="auto"/>
            <w:vAlign w:val="center"/>
            <w:hideMark/>
          </w:tcPr>
          <w:p w14:paraId="71000927" w14:textId="77777777" w:rsidR="000358D9" w:rsidRPr="000358D9" w:rsidRDefault="000358D9" w:rsidP="000358D9">
            <w:pPr>
              <w:spacing w:after="0"/>
              <w:jc w:val="center"/>
              <w:rPr>
                <w:rFonts w:eastAsia="Times New Roman" w:cstheme="minorHAnsi"/>
                <w:b/>
                <w:bCs/>
                <w:color w:val="000000"/>
                <w:sz w:val="24"/>
                <w:szCs w:val="24"/>
                <w:lang w:eastAsia="el-GR"/>
              </w:rPr>
            </w:pPr>
            <w:r w:rsidRPr="000358D9">
              <w:rPr>
                <w:rFonts w:eastAsia="Times New Roman" w:cstheme="minorHAnsi"/>
                <w:b/>
                <w:bCs/>
                <w:color w:val="000000"/>
                <w:sz w:val="24"/>
                <w:szCs w:val="24"/>
                <w:lang w:eastAsia="el-GR"/>
              </w:rPr>
              <w:t>Κατηγορία</w:t>
            </w:r>
          </w:p>
        </w:tc>
        <w:tc>
          <w:tcPr>
            <w:tcW w:w="1446" w:type="dxa"/>
            <w:tcBorders>
              <w:top w:val="single" w:sz="4" w:space="0" w:color="auto"/>
              <w:left w:val="single" w:sz="4" w:space="0" w:color="auto"/>
              <w:bottom w:val="single" w:sz="4" w:space="0" w:color="auto"/>
            </w:tcBorders>
            <w:shd w:val="clear" w:color="auto" w:fill="auto"/>
            <w:vAlign w:val="center"/>
            <w:hideMark/>
          </w:tcPr>
          <w:p w14:paraId="296C0D6A" w14:textId="77777777" w:rsidR="000358D9" w:rsidRPr="000358D9" w:rsidRDefault="000358D9" w:rsidP="000358D9">
            <w:pPr>
              <w:spacing w:after="0"/>
              <w:jc w:val="center"/>
              <w:rPr>
                <w:rFonts w:eastAsia="Times New Roman" w:cstheme="minorHAnsi"/>
                <w:b/>
                <w:bCs/>
                <w:color w:val="000000"/>
                <w:sz w:val="24"/>
                <w:szCs w:val="24"/>
                <w:lang w:eastAsia="el-GR"/>
              </w:rPr>
            </w:pPr>
            <w:r w:rsidRPr="000358D9">
              <w:rPr>
                <w:rFonts w:eastAsia="Times New Roman" w:cstheme="minorHAnsi"/>
                <w:b/>
                <w:bCs/>
                <w:color w:val="000000"/>
                <w:sz w:val="24"/>
                <w:szCs w:val="24"/>
                <w:lang w:eastAsia="el-GR"/>
              </w:rPr>
              <w:t>Ποσό ανά ημέρα</w:t>
            </w:r>
            <w:r w:rsidRPr="000358D9">
              <w:rPr>
                <w:rFonts w:eastAsia="Times New Roman" w:cstheme="minorHAnsi"/>
                <w:b/>
                <w:bCs/>
                <w:color w:val="000000"/>
                <w:sz w:val="24"/>
                <w:szCs w:val="24"/>
                <w:lang w:val="en-US" w:eastAsia="el-GR"/>
              </w:rPr>
              <w:t xml:space="preserve"> </w:t>
            </w:r>
            <w:r w:rsidRPr="000358D9">
              <w:rPr>
                <w:rFonts w:eastAsia="Times New Roman" w:cstheme="minorHAnsi"/>
                <w:b/>
                <w:bCs/>
                <w:color w:val="000000"/>
                <w:sz w:val="24"/>
                <w:szCs w:val="24"/>
                <w:lang w:eastAsia="el-GR"/>
              </w:rPr>
              <w:t>σήμερα</w:t>
            </w:r>
          </w:p>
        </w:tc>
        <w:tc>
          <w:tcPr>
            <w:tcW w:w="1417" w:type="dxa"/>
            <w:tcBorders>
              <w:top w:val="single" w:sz="4" w:space="0" w:color="auto"/>
              <w:bottom w:val="single" w:sz="4" w:space="0" w:color="auto"/>
            </w:tcBorders>
            <w:shd w:val="clear" w:color="auto" w:fill="auto"/>
            <w:vAlign w:val="center"/>
            <w:hideMark/>
          </w:tcPr>
          <w:p w14:paraId="314B52BB" w14:textId="77777777" w:rsidR="000358D9" w:rsidRPr="000358D9" w:rsidRDefault="000358D9" w:rsidP="000358D9">
            <w:pPr>
              <w:spacing w:after="0"/>
              <w:jc w:val="center"/>
              <w:rPr>
                <w:rFonts w:eastAsia="Times New Roman" w:cstheme="minorHAnsi"/>
                <w:b/>
                <w:bCs/>
                <w:color w:val="000000"/>
                <w:sz w:val="24"/>
                <w:szCs w:val="24"/>
                <w:lang w:eastAsia="el-GR"/>
              </w:rPr>
            </w:pPr>
            <w:r w:rsidRPr="000358D9">
              <w:rPr>
                <w:rFonts w:eastAsia="Times New Roman" w:cstheme="minorHAnsi"/>
                <w:b/>
                <w:bCs/>
                <w:color w:val="000000"/>
                <w:sz w:val="24"/>
                <w:szCs w:val="24"/>
                <w:lang w:eastAsia="el-GR"/>
              </w:rPr>
              <w:t>Νέα Τιμή</w:t>
            </w:r>
          </w:p>
        </w:tc>
        <w:tc>
          <w:tcPr>
            <w:tcW w:w="1701" w:type="dxa"/>
            <w:tcBorders>
              <w:top w:val="single" w:sz="4" w:space="0" w:color="auto"/>
              <w:bottom w:val="single" w:sz="4" w:space="0" w:color="auto"/>
            </w:tcBorders>
            <w:shd w:val="clear" w:color="auto" w:fill="auto"/>
            <w:vAlign w:val="center"/>
            <w:hideMark/>
          </w:tcPr>
          <w:p w14:paraId="31B1A4C1" w14:textId="77777777" w:rsidR="000358D9" w:rsidRPr="000358D9" w:rsidRDefault="000358D9" w:rsidP="000358D9">
            <w:pPr>
              <w:spacing w:after="0"/>
              <w:jc w:val="center"/>
              <w:rPr>
                <w:rFonts w:eastAsia="Times New Roman" w:cstheme="minorHAnsi"/>
                <w:b/>
                <w:bCs/>
                <w:color w:val="000000"/>
                <w:sz w:val="24"/>
                <w:szCs w:val="24"/>
                <w:lang w:eastAsia="el-GR"/>
              </w:rPr>
            </w:pPr>
            <w:r w:rsidRPr="000358D9">
              <w:rPr>
                <w:rFonts w:eastAsia="Times New Roman" w:cstheme="minorHAnsi"/>
                <w:b/>
                <w:bCs/>
                <w:color w:val="000000"/>
                <w:sz w:val="24"/>
                <w:szCs w:val="24"/>
                <w:lang w:eastAsia="el-GR"/>
              </w:rPr>
              <w:t>Αύξηση</w:t>
            </w:r>
          </w:p>
        </w:tc>
      </w:tr>
      <w:tr w:rsidR="000358D9" w:rsidRPr="000358D9" w14:paraId="258D323C" w14:textId="77777777" w:rsidTr="009407C1">
        <w:trPr>
          <w:trHeight w:val="290"/>
        </w:trPr>
        <w:tc>
          <w:tcPr>
            <w:tcW w:w="3233" w:type="dxa"/>
            <w:tcBorders>
              <w:top w:val="single" w:sz="4" w:space="0" w:color="auto"/>
              <w:right w:val="single" w:sz="4" w:space="0" w:color="auto"/>
            </w:tcBorders>
            <w:shd w:val="clear" w:color="auto" w:fill="auto"/>
            <w:noWrap/>
            <w:vAlign w:val="bottom"/>
            <w:hideMark/>
          </w:tcPr>
          <w:p w14:paraId="30F650A9" w14:textId="77777777" w:rsidR="000358D9" w:rsidRPr="000358D9" w:rsidRDefault="000358D9" w:rsidP="000358D9">
            <w:pPr>
              <w:spacing w:after="0"/>
              <w:rPr>
                <w:rFonts w:eastAsia="Times New Roman" w:cstheme="minorHAnsi"/>
                <w:color w:val="000000"/>
                <w:sz w:val="24"/>
                <w:szCs w:val="24"/>
                <w:lang w:eastAsia="el-GR"/>
              </w:rPr>
            </w:pPr>
            <w:r w:rsidRPr="000358D9">
              <w:rPr>
                <w:rFonts w:eastAsia="Times New Roman" w:cstheme="minorHAnsi"/>
                <w:color w:val="000000"/>
                <w:sz w:val="24"/>
                <w:szCs w:val="24"/>
                <w:lang w:eastAsia="el-GR"/>
              </w:rPr>
              <w:t xml:space="preserve">1-2 αστέρων </w:t>
            </w:r>
          </w:p>
        </w:tc>
        <w:tc>
          <w:tcPr>
            <w:tcW w:w="1446" w:type="dxa"/>
            <w:tcBorders>
              <w:top w:val="single" w:sz="4" w:space="0" w:color="auto"/>
              <w:left w:val="single" w:sz="4" w:space="0" w:color="auto"/>
              <w:bottom w:val="nil"/>
            </w:tcBorders>
            <w:shd w:val="clear" w:color="auto" w:fill="auto"/>
            <w:noWrap/>
            <w:vAlign w:val="bottom"/>
            <w:hideMark/>
          </w:tcPr>
          <w:p w14:paraId="74813EE1" w14:textId="77777777" w:rsidR="000358D9" w:rsidRPr="000358D9" w:rsidRDefault="000358D9" w:rsidP="000358D9">
            <w:pPr>
              <w:spacing w:after="0"/>
              <w:jc w:val="center"/>
              <w:rPr>
                <w:rFonts w:eastAsia="Times New Roman" w:cstheme="minorHAnsi"/>
                <w:color w:val="000000"/>
                <w:sz w:val="24"/>
                <w:szCs w:val="24"/>
                <w:lang w:eastAsia="el-GR"/>
              </w:rPr>
            </w:pPr>
            <w:r w:rsidRPr="000358D9">
              <w:rPr>
                <w:rFonts w:eastAsia="Times New Roman" w:cstheme="minorHAnsi"/>
                <w:color w:val="000000"/>
                <w:sz w:val="24"/>
                <w:szCs w:val="24"/>
                <w:lang w:eastAsia="el-GR"/>
              </w:rPr>
              <w:t>0,50 €</w:t>
            </w:r>
          </w:p>
        </w:tc>
        <w:tc>
          <w:tcPr>
            <w:tcW w:w="1417" w:type="dxa"/>
            <w:tcBorders>
              <w:top w:val="single" w:sz="4" w:space="0" w:color="auto"/>
              <w:bottom w:val="nil"/>
            </w:tcBorders>
            <w:shd w:val="clear" w:color="auto" w:fill="auto"/>
            <w:noWrap/>
            <w:vAlign w:val="bottom"/>
            <w:hideMark/>
          </w:tcPr>
          <w:p w14:paraId="1D5635A0"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1,50 €</w:t>
            </w:r>
          </w:p>
        </w:tc>
        <w:tc>
          <w:tcPr>
            <w:tcW w:w="1701" w:type="dxa"/>
            <w:tcBorders>
              <w:top w:val="single" w:sz="4" w:space="0" w:color="auto"/>
              <w:bottom w:val="nil"/>
            </w:tcBorders>
            <w:shd w:val="clear" w:color="auto" w:fill="auto"/>
            <w:noWrap/>
            <w:vAlign w:val="bottom"/>
            <w:hideMark/>
          </w:tcPr>
          <w:p w14:paraId="0F540695"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1,00 €</w:t>
            </w:r>
          </w:p>
        </w:tc>
      </w:tr>
      <w:tr w:rsidR="000358D9" w:rsidRPr="000358D9" w14:paraId="64D4A6B5" w14:textId="77777777" w:rsidTr="009407C1">
        <w:trPr>
          <w:trHeight w:val="280"/>
        </w:trPr>
        <w:tc>
          <w:tcPr>
            <w:tcW w:w="3233" w:type="dxa"/>
            <w:tcBorders>
              <w:right w:val="single" w:sz="4" w:space="0" w:color="auto"/>
            </w:tcBorders>
            <w:shd w:val="clear" w:color="auto" w:fill="auto"/>
            <w:noWrap/>
            <w:vAlign w:val="bottom"/>
            <w:hideMark/>
          </w:tcPr>
          <w:p w14:paraId="34CCF2CD" w14:textId="77777777" w:rsidR="000358D9" w:rsidRPr="000358D9" w:rsidRDefault="000358D9" w:rsidP="000358D9">
            <w:pPr>
              <w:spacing w:after="0"/>
              <w:rPr>
                <w:rFonts w:eastAsia="Times New Roman" w:cstheme="minorHAnsi"/>
                <w:color w:val="000000"/>
                <w:sz w:val="24"/>
                <w:szCs w:val="24"/>
                <w:lang w:eastAsia="el-GR"/>
              </w:rPr>
            </w:pPr>
            <w:r w:rsidRPr="000358D9">
              <w:rPr>
                <w:rFonts w:eastAsia="Times New Roman" w:cstheme="minorHAnsi"/>
                <w:color w:val="000000"/>
                <w:sz w:val="24"/>
                <w:szCs w:val="24"/>
                <w:lang w:eastAsia="el-GR"/>
              </w:rPr>
              <w:t xml:space="preserve">3 αστέρων </w:t>
            </w:r>
          </w:p>
        </w:tc>
        <w:tc>
          <w:tcPr>
            <w:tcW w:w="1446" w:type="dxa"/>
            <w:tcBorders>
              <w:top w:val="nil"/>
              <w:left w:val="single" w:sz="4" w:space="0" w:color="auto"/>
              <w:bottom w:val="nil"/>
            </w:tcBorders>
            <w:shd w:val="clear" w:color="auto" w:fill="auto"/>
            <w:noWrap/>
            <w:vAlign w:val="bottom"/>
            <w:hideMark/>
          </w:tcPr>
          <w:p w14:paraId="358B757F" w14:textId="77777777" w:rsidR="000358D9" w:rsidRPr="000358D9" w:rsidRDefault="000358D9" w:rsidP="000358D9">
            <w:pPr>
              <w:spacing w:after="0"/>
              <w:jc w:val="center"/>
              <w:rPr>
                <w:rFonts w:eastAsia="Times New Roman" w:cstheme="minorHAnsi"/>
                <w:color w:val="000000"/>
                <w:sz w:val="24"/>
                <w:szCs w:val="24"/>
                <w:lang w:eastAsia="el-GR"/>
              </w:rPr>
            </w:pPr>
            <w:r w:rsidRPr="000358D9">
              <w:rPr>
                <w:rFonts w:eastAsia="Times New Roman" w:cstheme="minorHAnsi"/>
                <w:color w:val="000000"/>
                <w:sz w:val="24"/>
                <w:szCs w:val="24"/>
                <w:lang w:eastAsia="el-GR"/>
              </w:rPr>
              <w:t>1,50 €</w:t>
            </w:r>
          </w:p>
        </w:tc>
        <w:tc>
          <w:tcPr>
            <w:tcW w:w="1417" w:type="dxa"/>
            <w:tcBorders>
              <w:top w:val="nil"/>
              <w:bottom w:val="nil"/>
            </w:tcBorders>
            <w:shd w:val="clear" w:color="auto" w:fill="auto"/>
            <w:noWrap/>
            <w:vAlign w:val="bottom"/>
            <w:hideMark/>
          </w:tcPr>
          <w:p w14:paraId="42274681"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3,00 €</w:t>
            </w:r>
          </w:p>
        </w:tc>
        <w:tc>
          <w:tcPr>
            <w:tcW w:w="1701" w:type="dxa"/>
            <w:tcBorders>
              <w:top w:val="nil"/>
              <w:bottom w:val="nil"/>
            </w:tcBorders>
            <w:shd w:val="clear" w:color="auto" w:fill="auto"/>
            <w:noWrap/>
            <w:vAlign w:val="bottom"/>
            <w:hideMark/>
          </w:tcPr>
          <w:p w14:paraId="77C893A2"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1,50 €</w:t>
            </w:r>
          </w:p>
        </w:tc>
      </w:tr>
      <w:tr w:rsidR="000358D9" w:rsidRPr="000358D9" w14:paraId="11157A61" w14:textId="77777777" w:rsidTr="009407C1">
        <w:trPr>
          <w:trHeight w:val="280"/>
        </w:trPr>
        <w:tc>
          <w:tcPr>
            <w:tcW w:w="3233" w:type="dxa"/>
            <w:tcBorders>
              <w:right w:val="single" w:sz="4" w:space="0" w:color="auto"/>
            </w:tcBorders>
            <w:shd w:val="clear" w:color="auto" w:fill="auto"/>
            <w:noWrap/>
            <w:vAlign w:val="bottom"/>
            <w:hideMark/>
          </w:tcPr>
          <w:p w14:paraId="4D0C6D82" w14:textId="77777777" w:rsidR="000358D9" w:rsidRPr="000358D9" w:rsidRDefault="000358D9" w:rsidP="000358D9">
            <w:pPr>
              <w:spacing w:after="0"/>
              <w:rPr>
                <w:rFonts w:eastAsia="Times New Roman" w:cstheme="minorHAnsi"/>
                <w:color w:val="000000"/>
                <w:sz w:val="24"/>
                <w:szCs w:val="24"/>
                <w:lang w:eastAsia="el-GR"/>
              </w:rPr>
            </w:pPr>
            <w:r w:rsidRPr="000358D9">
              <w:rPr>
                <w:rFonts w:eastAsia="Times New Roman" w:cstheme="minorHAnsi"/>
                <w:color w:val="000000"/>
                <w:sz w:val="24"/>
                <w:szCs w:val="24"/>
                <w:lang w:eastAsia="el-GR"/>
              </w:rPr>
              <w:t xml:space="preserve">4 αστέρων </w:t>
            </w:r>
          </w:p>
        </w:tc>
        <w:tc>
          <w:tcPr>
            <w:tcW w:w="1446" w:type="dxa"/>
            <w:tcBorders>
              <w:top w:val="nil"/>
              <w:left w:val="single" w:sz="4" w:space="0" w:color="auto"/>
              <w:bottom w:val="nil"/>
            </w:tcBorders>
            <w:shd w:val="clear" w:color="auto" w:fill="auto"/>
            <w:noWrap/>
            <w:vAlign w:val="bottom"/>
            <w:hideMark/>
          </w:tcPr>
          <w:p w14:paraId="70D1E273" w14:textId="77777777" w:rsidR="000358D9" w:rsidRPr="000358D9" w:rsidRDefault="000358D9" w:rsidP="000358D9">
            <w:pPr>
              <w:spacing w:after="0"/>
              <w:jc w:val="center"/>
              <w:rPr>
                <w:rFonts w:eastAsia="Times New Roman" w:cstheme="minorHAnsi"/>
                <w:color w:val="000000"/>
                <w:sz w:val="24"/>
                <w:szCs w:val="24"/>
                <w:lang w:eastAsia="el-GR"/>
              </w:rPr>
            </w:pPr>
            <w:r w:rsidRPr="000358D9">
              <w:rPr>
                <w:rFonts w:eastAsia="Times New Roman" w:cstheme="minorHAnsi"/>
                <w:color w:val="000000"/>
                <w:sz w:val="24"/>
                <w:szCs w:val="24"/>
                <w:lang w:eastAsia="el-GR"/>
              </w:rPr>
              <w:t>3,00 €</w:t>
            </w:r>
          </w:p>
        </w:tc>
        <w:tc>
          <w:tcPr>
            <w:tcW w:w="1417" w:type="dxa"/>
            <w:tcBorders>
              <w:top w:val="nil"/>
              <w:bottom w:val="nil"/>
            </w:tcBorders>
            <w:shd w:val="clear" w:color="auto" w:fill="auto"/>
            <w:noWrap/>
            <w:vAlign w:val="bottom"/>
            <w:hideMark/>
          </w:tcPr>
          <w:p w14:paraId="3EE947E5"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7,00 €</w:t>
            </w:r>
          </w:p>
        </w:tc>
        <w:tc>
          <w:tcPr>
            <w:tcW w:w="1701" w:type="dxa"/>
            <w:tcBorders>
              <w:top w:val="nil"/>
              <w:bottom w:val="nil"/>
            </w:tcBorders>
            <w:shd w:val="clear" w:color="auto" w:fill="auto"/>
            <w:noWrap/>
            <w:vAlign w:val="bottom"/>
            <w:hideMark/>
          </w:tcPr>
          <w:p w14:paraId="1677E83F"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4,00 €</w:t>
            </w:r>
          </w:p>
        </w:tc>
      </w:tr>
      <w:tr w:rsidR="000358D9" w:rsidRPr="000358D9" w14:paraId="12C23AC2" w14:textId="77777777" w:rsidTr="009407C1">
        <w:trPr>
          <w:trHeight w:val="290"/>
        </w:trPr>
        <w:tc>
          <w:tcPr>
            <w:tcW w:w="3233" w:type="dxa"/>
            <w:tcBorders>
              <w:right w:val="single" w:sz="4" w:space="0" w:color="auto"/>
            </w:tcBorders>
            <w:shd w:val="clear" w:color="auto" w:fill="auto"/>
            <w:noWrap/>
            <w:vAlign w:val="bottom"/>
            <w:hideMark/>
          </w:tcPr>
          <w:p w14:paraId="00048547" w14:textId="77777777" w:rsidR="000358D9" w:rsidRPr="000358D9" w:rsidRDefault="000358D9" w:rsidP="000358D9">
            <w:pPr>
              <w:spacing w:after="0"/>
              <w:rPr>
                <w:rFonts w:eastAsia="Times New Roman" w:cstheme="minorHAnsi"/>
                <w:color w:val="000000"/>
                <w:sz w:val="24"/>
                <w:szCs w:val="24"/>
                <w:lang w:eastAsia="el-GR"/>
              </w:rPr>
            </w:pPr>
            <w:r w:rsidRPr="000358D9">
              <w:rPr>
                <w:rFonts w:eastAsia="Times New Roman" w:cstheme="minorHAnsi"/>
                <w:color w:val="000000"/>
                <w:sz w:val="24"/>
                <w:szCs w:val="24"/>
                <w:lang w:eastAsia="el-GR"/>
              </w:rPr>
              <w:t xml:space="preserve">5 αστέρων </w:t>
            </w:r>
          </w:p>
        </w:tc>
        <w:tc>
          <w:tcPr>
            <w:tcW w:w="1446" w:type="dxa"/>
            <w:tcBorders>
              <w:top w:val="nil"/>
              <w:left w:val="single" w:sz="4" w:space="0" w:color="auto"/>
              <w:bottom w:val="nil"/>
            </w:tcBorders>
            <w:shd w:val="clear" w:color="auto" w:fill="auto"/>
            <w:noWrap/>
            <w:vAlign w:val="bottom"/>
            <w:hideMark/>
          </w:tcPr>
          <w:p w14:paraId="4879A472" w14:textId="77777777" w:rsidR="000358D9" w:rsidRPr="000358D9" w:rsidRDefault="000358D9" w:rsidP="000358D9">
            <w:pPr>
              <w:spacing w:after="0"/>
              <w:jc w:val="center"/>
              <w:rPr>
                <w:rFonts w:eastAsia="Times New Roman" w:cstheme="minorHAnsi"/>
                <w:color w:val="000000"/>
                <w:sz w:val="24"/>
                <w:szCs w:val="24"/>
                <w:lang w:eastAsia="el-GR"/>
              </w:rPr>
            </w:pPr>
            <w:r w:rsidRPr="000358D9">
              <w:rPr>
                <w:rFonts w:eastAsia="Times New Roman" w:cstheme="minorHAnsi"/>
                <w:color w:val="000000"/>
                <w:sz w:val="24"/>
                <w:szCs w:val="24"/>
                <w:lang w:eastAsia="el-GR"/>
              </w:rPr>
              <w:t>4,00 €</w:t>
            </w:r>
          </w:p>
        </w:tc>
        <w:tc>
          <w:tcPr>
            <w:tcW w:w="1417" w:type="dxa"/>
            <w:tcBorders>
              <w:top w:val="nil"/>
              <w:bottom w:val="nil"/>
            </w:tcBorders>
            <w:shd w:val="clear" w:color="auto" w:fill="auto"/>
            <w:noWrap/>
            <w:vAlign w:val="bottom"/>
            <w:hideMark/>
          </w:tcPr>
          <w:p w14:paraId="7DA69755"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10,00 €</w:t>
            </w:r>
          </w:p>
        </w:tc>
        <w:tc>
          <w:tcPr>
            <w:tcW w:w="1701" w:type="dxa"/>
            <w:tcBorders>
              <w:top w:val="nil"/>
              <w:bottom w:val="nil"/>
            </w:tcBorders>
            <w:shd w:val="clear" w:color="auto" w:fill="auto"/>
            <w:noWrap/>
            <w:vAlign w:val="bottom"/>
            <w:hideMark/>
          </w:tcPr>
          <w:p w14:paraId="7B08917C"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6,00 €</w:t>
            </w:r>
          </w:p>
        </w:tc>
      </w:tr>
      <w:tr w:rsidR="000358D9" w:rsidRPr="000358D9" w14:paraId="6A08FEFA" w14:textId="77777777" w:rsidTr="009407C1">
        <w:trPr>
          <w:trHeight w:val="290"/>
        </w:trPr>
        <w:tc>
          <w:tcPr>
            <w:tcW w:w="3233" w:type="dxa"/>
            <w:tcBorders>
              <w:right w:val="single" w:sz="4" w:space="0" w:color="auto"/>
            </w:tcBorders>
            <w:shd w:val="clear" w:color="auto" w:fill="auto"/>
            <w:noWrap/>
            <w:vAlign w:val="bottom"/>
          </w:tcPr>
          <w:p w14:paraId="4054EFEE" w14:textId="77777777" w:rsidR="000358D9" w:rsidRPr="000358D9" w:rsidRDefault="000358D9" w:rsidP="009407C1">
            <w:pPr>
              <w:spacing w:after="0"/>
              <w:rPr>
                <w:rFonts w:eastAsia="Times New Roman" w:cstheme="minorHAnsi"/>
                <w:color w:val="000000"/>
                <w:sz w:val="24"/>
                <w:szCs w:val="24"/>
                <w:lang w:eastAsia="el-GR"/>
              </w:rPr>
            </w:pPr>
            <w:r w:rsidRPr="000358D9">
              <w:rPr>
                <w:rFonts w:eastAsia="Times New Roman" w:cstheme="minorHAnsi"/>
                <w:color w:val="000000"/>
                <w:sz w:val="24"/>
                <w:szCs w:val="24"/>
                <w:lang w:eastAsia="el-GR"/>
              </w:rPr>
              <w:t>Ενοικιαζόμενα δωμάτια</w:t>
            </w:r>
          </w:p>
        </w:tc>
        <w:tc>
          <w:tcPr>
            <w:tcW w:w="1446" w:type="dxa"/>
            <w:tcBorders>
              <w:top w:val="nil"/>
              <w:left w:val="single" w:sz="4" w:space="0" w:color="auto"/>
              <w:bottom w:val="nil"/>
            </w:tcBorders>
            <w:shd w:val="clear" w:color="auto" w:fill="auto"/>
            <w:noWrap/>
            <w:vAlign w:val="bottom"/>
          </w:tcPr>
          <w:p w14:paraId="158553EE" w14:textId="77777777" w:rsidR="000358D9" w:rsidRPr="000358D9" w:rsidRDefault="000358D9" w:rsidP="000358D9">
            <w:pPr>
              <w:spacing w:after="0"/>
              <w:jc w:val="center"/>
              <w:rPr>
                <w:rFonts w:eastAsia="Times New Roman" w:cstheme="minorHAnsi"/>
                <w:color w:val="000000"/>
                <w:sz w:val="24"/>
                <w:szCs w:val="24"/>
                <w:lang w:eastAsia="el-GR"/>
              </w:rPr>
            </w:pPr>
            <w:r w:rsidRPr="000358D9">
              <w:rPr>
                <w:rFonts w:eastAsia="Times New Roman" w:cstheme="minorHAnsi"/>
                <w:color w:val="000000"/>
                <w:sz w:val="24"/>
                <w:szCs w:val="24"/>
                <w:lang w:eastAsia="el-GR"/>
              </w:rPr>
              <w:t>0,50 €</w:t>
            </w:r>
          </w:p>
        </w:tc>
        <w:tc>
          <w:tcPr>
            <w:tcW w:w="1417" w:type="dxa"/>
            <w:tcBorders>
              <w:top w:val="nil"/>
              <w:bottom w:val="nil"/>
            </w:tcBorders>
            <w:shd w:val="clear" w:color="auto" w:fill="auto"/>
            <w:noWrap/>
            <w:vAlign w:val="bottom"/>
          </w:tcPr>
          <w:p w14:paraId="36F19C77"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1,50 €</w:t>
            </w:r>
          </w:p>
        </w:tc>
        <w:tc>
          <w:tcPr>
            <w:tcW w:w="1701" w:type="dxa"/>
            <w:tcBorders>
              <w:top w:val="nil"/>
              <w:bottom w:val="nil"/>
            </w:tcBorders>
            <w:shd w:val="clear" w:color="auto" w:fill="auto"/>
            <w:noWrap/>
            <w:vAlign w:val="bottom"/>
          </w:tcPr>
          <w:p w14:paraId="6E0C5440"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1,00 €</w:t>
            </w:r>
          </w:p>
        </w:tc>
      </w:tr>
      <w:tr w:rsidR="000358D9" w:rsidRPr="000358D9" w14:paraId="63A11651" w14:textId="77777777" w:rsidTr="009407C1">
        <w:trPr>
          <w:trHeight w:val="290"/>
        </w:trPr>
        <w:tc>
          <w:tcPr>
            <w:tcW w:w="3233" w:type="dxa"/>
            <w:tcBorders>
              <w:right w:val="single" w:sz="4" w:space="0" w:color="auto"/>
            </w:tcBorders>
            <w:shd w:val="clear" w:color="auto" w:fill="auto"/>
            <w:noWrap/>
            <w:vAlign w:val="bottom"/>
          </w:tcPr>
          <w:p w14:paraId="762AB407" w14:textId="77777777" w:rsidR="000358D9" w:rsidRPr="000358D9" w:rsidRDefault="000358D9" w:rsidP="000358D9">
            <w:pPr>
              <w:spacing w:after="0"/>
              <w:rPr>
                <w:rFonts w:eastAsia="Times New Roman" w:cstheme="minorHAnsi"/>
                <w:color w:val="000000"/>
                <w:sz w:val="24"/>
                <w:szCs w:val="24"/>
                <w:lang w:eastAsia="el-GR"/>
              </w:rPr>
            </w:pPr>
            <w:r w:rsidRPr="000358D9">
              <w:rPr>
                <w:rFonts w:eastAsia="Times New Roman" w:cstheme="minorHAnsi"/>
                <w:color w:val="000000"/>
                <w:sz w:val="24"/>
                <w:szCs w:val="24"/>
                <w:lang w:eastAsia="el-GR"/>
              </w:rPr>
              <w:t>Βραχυχρόνια μίσθωση</w:t>
            </w:r>
          </w:p>
        </w:tc>
        <w:tc>
          <w:tcPr>
            <w:tcW w:w="1446" w:type="dxa"/>
            <w:tcBorders>
              <w:top w:val="nil"/>
              <w:left w:val="single" w:sz="4" w:space="0" w:color="auto"/>
              <w:bottom w:val="single" w:sz="4" w:space="0" w:color="auto"/>
            </w:tcBorders>
            <w:shd w:val="clear" w:color="auto" w:fill="auto"/>
            <w:noWrap/>
            <w:vAlign w:val="bottom"/>
          </w:tcPr>
          <w:p w14:paraId="5F49705E" w14:textId="77777777" w:rsidR="000358D9" w:rsidRPr="000358D9" w:rsidRDefault="000358D9" w:rsidP="000358D9">
            <w:pPr>
              <w:spacing w:after="0"/>
              <w:jc w:val="center"/>
              <w:rPr>
                <w:rFonts w:eastAsia="Times New Roman" w:cstheme="minorHAnsi"/>
                <w:color w:val="000000"/>
                <w:sz w:val="24"/>
                <w:szCs w:val="24"/>
                <w:lang w:eastAsia="el-GR"/>
              </w:rPr>
            </w:pPr>
            <w:r w:rsidRPr="000358D9">
              <w:rPr>
                <w:rFonts w:eastAsia="Times New Roman" w:cstheme="minorHAnsi"/>
                <w:color w:val="000000"/>
                <w:sz w:val="24"/>
                <w:szCs w:val="24"/>
                <w:lang w:eastAsia="el-GR"/>
              </w:rPr>
              <w:t>0,00 €</w:t>
            </w:r>
          </w:p>
        </w:tc>
        <w:tc>
          <w:tcPr>
            <w:tcW w:w="1417" w:type="dxa"/>
            <w:tcBorders>
              <w:top w:val="nil"/>
              <w:bottom w:val="single" w:sz="4" w:space="0" w:color="auto"/>
            </w:tcBorders>
            <w:shd w:val="clear" w:color="auto" w:fill="auto"/>
            <w:noWrap/>
            <w:vAlign w:val="bottom"/>
          </w:tcPr>
          <w:p w14:paraId="1F68C1B5"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1,50 €</w:t>
            </w:r>
          </w:p>
        </w:tc>
        <w:tc>
          <w:tcPr>
            <w:tcW w:w="1701" w:type="dxa"/>
            <w:tcBorders>
              <w:top w:val="nil"/>
              <w:bottom w:val="single" w:sz="4" w:space="0" w:color="auto"/>
            </w:tcBorders>
            <w:shd w:val="clear" w:color="auto" w:fill="auto"/>
            <w:noWrap/>
            <w:vAlign w:val="bottom"/>
          </w:tcPr>
          <w:p w14:paraId="10DC0463" w14:textId="77777777" w:rsidR="000358D9" w:rsidRPr="000358D9" w:rsidRDefault="000358D9" w:rsidP="000358D9">
            <w:pPr>
              <w:spacing w:after="0"/>
              <w:jc w:val="right"/>
              <w:rPr>
                <w:rFonts w:eastAsia="Times New Roman" w:cstheme="minorHAnsi"/>
                <w:color w:val="000000"/>
                <w:sz w:val="24"/>
                <w:szCs w:val="24"/>
                <w:lang w:eastAsia="el-GR"/>
              </w:rPr>
            </w:pPr>
            <w:r w:rsidRPr="000358D9">
              <w:rPr>
                <w:rFonts w:eastAsia="Times New Roman" w:cstheme="minorHAnsi"/>
                <w:color w:val="000000"/>
                <w:sz w:val="24"/>
                <w:szCs w:val="24"/>
                <w:lang w:eastAsia="el-GR"/>
              </w:rPr>
              <w:t>1,50 €</w:t>
            </w:r>
          </w:p>
        </w:tc>
      </w:tr>
    </w:tbl>
    <w:p w14:paraId="35E1FECA" w14:textId="77777777" w:rsidR="000358D9" w:rsidRPr="000358D9" w:rsidRDefault="000358D9" w:rsidP="000358D9">
      <w:pPr>
        <w:spacing w:after="0"/>
        <w:rPr>
          <w:rFonts w:cstheme="minorHAnsi"/>
          <w:sz w:val="24"/>
          <w:szCs w:val="24"/>
        </w:rPr>
      </w:pPr>
    </w:p>
    <w:p w14:paraId="4D0C934B" w14:textId="77777777" w:rsidR="003E13DB" w:rsidRDefault="003E13DB" w:rsidP="000358D9">
      <w:pPr>
        <w:spacing w:after="0"/>
        <w:jc w:val="both"/>
        <w:rPr>
          <w:rFonts w:cstheme="minorHAnsi"/>
          <w:sz w:val="24"/>
          <w:szCs w:val="24"/>
        </w:rPr>
      </w:pPr>
    </w:p>
    <w:p w14:paraId="39F84B4C" w14:textId="679B54AE" w:rsidR="000358D9" w:rsidRPr="000358D9" w:rsidRDefault="000358D9" w:rsidP="000358D9">
      <w:pPr>
        <w:spacing w:after="0"/>
        <w:jc w:val="both"/>
        <w:rPr>
          <w:rFonts w:cstheme="minorHAnsi"/>
          <w:sz w:val="24"/>
          <w:szCs w:val="24"/>
        </w:rPr>
      </w:pPr>
      <w:r w:rsidRPr="000358D9">
        <w:rPr>
          <w:rFonts w:cstheme="minorHAnsi"/>
          <w:sz w:val="24"/>
          <w:szCs w:val="24"/>
        </w:rPr>
        <w:t xml:space="preserve">5. Εντατικοποίηση </w:t>
      </w:r>
      <w:r w:rsidRPr="000358D9">
        <w:rPr>
          <w:rFonts w:cstheme="minorHAnsi"/>
          <w:b/>
          <w:sz w:val="24"/>
          <w:szCs w:val="24"/>
        </w:rPr>
        <w:t>ελέγχων</w:t>
      </w:r>
      <w:r w:rsidRPr="000358D9">
        <w:rPr>
          <w:rFonts w:cstheme="minorHAnsi"/>
          <w:sz w:val="24"/>
          <w:szCs w:val="24"/>
        </w:rPr>
        <w:t xml:space="preserve">, με βάση τα δεδομένα των ηλεκτρονικών </w:t>
      </w:r>
      <w:proofErr w:type="spellStart"/>
      <w:r w:rsidRPr="000358D9">
        <w:rPr>
          <w:rFonts w:cstheme="minorHAnsi"/>
          <w:sz w:val="24"/>
          <w:szCs w:val="24"/>
        </w:rPr>
        <w:t>πλατφορμών</w:t>
      </w:r>
      <w:proofErr w:type="spellEnd"/>
      <w:r w:rsidRPr="000358D9">
        <w:rPr>
          <w:rFonts w:cstheme="minorHAnsi"/>
          <w:sz w:val="24"/>
          <w:szCs w:val="24"/>
        </w:rPr>
        <w:t xml:space="preserve"> και επιβολή κυρώσεων στις περιπτώσεις φοροδιαφυγής ή παροχής επιπρόσθετων υπηρεσιών πλην της διαμονής και της παροχής κλινοσκεπασμάτων. </w:t>
      </w:r>
    </w:p>
    <w:p w14:paraId="6C0BC15D" w14:textId="77777777" w:rsidR="00920F14" w:rsidRDefault="00920F14" w:rsidP="000358D9">
      <w:pPr>
        <w:spacing w:after="0"/>
        <w:jc w:val="both"/>
        <w:rPr>
          <w:rFonts w:cstheme="minorHAnsi"/>
          <w:sz w:val="24"/>
          <w:szCs w:val="24"/>
        </w:rPr>
      </w:pPr>
    </w:p>
    <w:p w14:paraId="056D7A21" w14:textId="20AEC6C2" w:rsidR="000358D9" w:rsidRPr="000358D9" w:rsidRDefault="000358D9" w:rsidP="000358D9">
      <w:pPr>
        <w:spacing w:after="0"/>
        <w:jc w:val="both"/>
        <w:rPr>
          <w:rFonts w:cstheme="minorHAnsi"/>
          <w:sz w:val="24"/>
          <w:szCs w:val="24"/>
        </w:rPr>
      </w:pPr>
      <w:r w:rsidRPr="000358D9">
        <w:rPr>
          <w:rFonts w:cstheme="minorHAnsi"/>
          <w:sz w:val="24"/>
          <w:szCs w:val="24"/>
        </w:rPr>
        <w:t xml:space="preserve">6. </w:t>
      </w:r>
      <w:proofErr w:type="spellStart"/>
      <w:r w:rsidRPr="000358D9">
        <w:rPr>
          <w:rFonts w:cstheme="minorHAnsi"/>
          <w:sz w:val="24"/>
          <w:szCs w:val="24"/>
        </w:rPr>
        <w:t>Αυστηροποίηση</w:t>
      </w:r>
      <w:proofErr w:type="spellEnd"/>
      <w:r w:rsidRPr="000358D9">
        <w:rPr>
          <w:rFonts w:cstheme="minorHAnsi"/>
          <w:sz w:val="24"/>
          <w:szCs w:val="24"/>
        </w:rPr>
        <w:t xml:space="preserve"> </w:t>
      </w:r>
      <w:r w:rsidRPr="000358D9">
        <w:rPr>
          <w:rFonts w:cstheme="minorHAnsi"/>
          <w:b/>
          <w:sz w:val="24"/>
          <w:szCs w:val="24"/>
        </w:rPr>
        <w:t>κυρώσεων</w:t>
      </w:r>
      <w:r w:rsidRPr="000358D9">
        <w:rPr>
          <w:rFonts w:cstheme="minorHAnsi"/>
          <w:sz w:val="24"/>
          <w:szCs w:val="24"/>
        </w:rPr>
        <w:t xml:space="preserve">: Σε περίπτωση μη εγγραφής στο Μητρώο Ακινήτων Βραχυχρόνιας Μίσθωσης, </w:t>
      </w:r>
      <w:proofErr w:type="spellStart"/>
      <w:r w:rsidRPr="000358D9">
        <w:rPr>
          <w:rFonts w:cstheme="minorHAnsi"/>
          <w:sz w:val="24"/>
          <w:szCs w:val="24"/>
        </w:rPr>
        <w:t>αυστηροποιείται</w:t>
      </w:r>
      <w:proofErr w:type="spellEnd"/>
      <w:r w:rsidRPr="000358D9">
        <w:rPr>
          <w:rFonts w:cstheme="minorHAnsi"/>
          <w:sz w:val="24"/>
          <w:szCs w:val="24"/>
        </w:rPr>
        <w:t xml:space="preserve"> το πρόστιμο και ορίζεται, ανά χρήση, σε 50%, των ακαθαρίστων εσόδων του τελευταίου φορολογικού έτους και κατ’ ελάχιστο 5.000 ευρώ (σήμερα το πρόστιμο είναι οριζόντιο και ανέρχεται σε 5.000 ευρώ). Σε περίπτωση υποτροπής για επόμενη χρήση το ανωτέρω πρόστιμο θα διπλασιάζεται.</w:t>
      </w:r>
    </w:p>
    <w:p w14:paraId="712805F4" w14:textId="77777777" w:rsidR="00920F14" w:rsidRDefault="00920F14" w:rsidP="000358D9">
      <w:pPr>
        <w:spacing w:after="0"/>
        <w:jc w:val="both"/>
        <w:rPr>
          <w:rFonts w:cstheme="minorHAnsi"/>
          <w:sz w:val="24"/>
          <w:szCs w:val="24"/>
        </w:rPr>
      </w:pPr>
    </w:p>
    <w:p w14:paraId="53F2FD75" w14:textId="1A05F22A" w:rsidR="000358D9" w:rsidRPr="000358D9" w:rsidRDefault="000358D9" w:rsidP="000358D9">
      <w:pPr>
        <w:spacing w:after="0"/>
        <w:jc w:val="both"/>
        <w:rPr>
          <w:rFonts w:cstheme="minorHAnsi"/>
          <w:sz w:val="24"/>
          <w:szCs w:val="24"/>
        </w:rPr>
      </w:pPr>
      <w:r w:rsidRPr="000358D9">
        <w:rPr>
          <w:rFonts w:cstheme="minorHAnsi"/>
          <w:sz w:val="24"/>
          <w:szCs w:val="24"/>
        </w:rPr>
        <w:t xml:space="preserve">7. Εκμίσθωση συνόλου διαμερισμάτων </w:t>
      </w:r>
      <w:r w:rsidRPr="000358D9">
        <w:rPr>
          <w:rFonts w:cstheme="minorHAnsi"/>
          <w:b/>
          <w:sz w:val="24"/>
          <w:szCs w:val="24"/>
        </w:rPr>
        <w:t>πολυκατοικίας</w:t>
      </w:r>
      <w:r w:rsidRPr="000358D9">
        <w:rPr>
          <w:rFonts w:cstheme="minorHAnsi"/>
          <w:sz w:val="24"/>
          <w:szCs w:val="24"/>
        </w:rPr>
        <w:t xml:space="preserve">: Σε περίπτωση που το σύνολο των διαμερισμάτων πολυκατοικίας ή συγκροτήματος κατοικιών διατίθεται προς βραχυχρόνια μίσθωση, θα θεωρείται </w:t>
      </w:r>
      <w:r w:rsidRPr="000358D9">
        <w:rPr>
          <w:rFonts w:cstheme="minorHAnsi"/>
          <w:b/>
          <w:sz w:val="24"/>
          <w:szCs w:val="24"/>
        </w:rPr>
        <w:t>τουριστικό κατάλυμα</w:t>
      </w:r>
      <w:r w:rsidRPr="000358D9">
        <w:rPr>
          <w:rFonts w:cstheme="minorHAnsi"/>
          <w:sz w:val="24"/>
          <w:szCs w:val="24"/>
        </w:rPr>
        <w:t>, το οποίο θα πρέπει να διαθέτει την αντίστοιχη αδειοδότηση.</w:t>
      </w:r>
    </w:p>
    <w:p w14:paraId="748665D7" w14:textId="77777777" w:rsidR="00920F14" w:rsidRDefault="00920F14" w:rsidP="000358D9">
      <w:pPr>
        <w:spacing w:after="0"/>
        <w:jc w:val="both"/>
        <w:rPr>
          <w:rFonts w:cstheme="minorHAnsi"/>
          <w:i/>
          <w:sz w:val="24"/>
          <w:szCs w:val="24"/>
        </w:rPr>
      </w:pPr>
    </w:p>
    <w:p w14:paraId="2BF2578F" w14:textId="27795389" w:rsidR="000358D9" w:rsidRPr="000358D9" w:rsidRDefault="000358D9" w:rsidP="000358D9">
      <w:pPr>
        <w:spacing w:after="0"/>
        <w:jc w:val="both"/>
        <w:rPr>
          <w:rFonts w:cstheme="minorHAnsi"/>
          <w:i/>
          <w:sz w:val="24"/>
          <w:szCs w:val="24"/>
        </w:rPr>
      </w:pPr>
      <w:r w:rsidRPr="000358D9">
        <w:rPr>
          <w:rFonts w:cstheme="minorHAnsi"/>
          <w:i/>
          <w:sz w:val="24"/>
          <w:szCs w:val="24"/>
        </w:rPr>
        <w:t xml:space="preserve">Σημειώνεται ότι στο Μητρώο Ακινήτων Βραχυχρόνιας Διαμονής της </w:t>
      </w:r>
      <w:proofErr w:type="spellStart"/>
      <w:r w:rsidRPr="000358D9">
        <w:rPr>
          <w:rFonts w:cstheme="minorHAnsi"/>
          <w:i/>
          <w:sz w:val="24"/>
          <w:szCs w:val="24"/>
        </w:rPr>
        <w:t>ΑΑΔΕ</w:t>
      </w:r>
      <w:proofErr w:type="spellEnd"/>
      <w:r w:rsidRPr="000358D9">
        <w:rPr>
          <w:rFonts w:cstheme="minorHAnsi"/>
          <w:i/>
          <w:sz w:val="24"/>
          <w:szCs w:val="24"/>
        </w:rPr>
        <w:t xml:space="preserve"> είναι καταχωρημένα 168.819 ακίνητα που ανήκουν σε 107.719 </w:t>
      </w:r>
      <w:proofErr w:type="spellStart"/>
      <w:r w:rsidRPr="000358D9">
        <w:rPr>
          <w:rFonts w:cstheme="minorHAnsi"/>
          <w:i/>
          <w:sz w:val="24"/>
          <w:szCs w:val="24"/>
        </w:rPr>
        <w:t>ΑΦΜ</w:t>
      </w:r>
      <w:proofErr w:type="spellEnd"/>
      <w:r w:rsidRPr="000358D9">
        <w:rPr>
          <w:rFonts w:cstheme="minorHAnsi"/>
          <w:i/>
          <w:sz w:val="24"/>
          <w:szCs w:val="24"/>
        </w:rPr>
        <w:t xml:space="preserve"> (νομικά και φυσικά πρόσωπα). Από αυτά:</w:t>
      </w:r>
    </w:p>
    <w:p w14:paraId="0B15CB90" w14:textId="1BA7175C" w:rsidR="000358D9" w:rsidRPr="00920F14" w:rsidRDefault="000358D9" w:rsidP="00920F14">
      <w:pPr>
        <w:pStyle w:val="a5"/>
        <w:numPr>
          <w:ilvl w:val="0"/>
          <w:numId w:val="39"/>
        </w:numPr>
        <w:spacing w:line="259" w:lineRule="auto"/>
        <w:ind w:left="714" w:hanging="357"/>
        <w:rPr>
          <w:rFonts w:asciiTheme="minorHAnsi" w:hAnsiTheme="minorHAnsi" w:cstheme="minorHAnsi"/>
          <w:i/>
          <w:sz w:val="24"/>
          <w:szCs w:val="24"/>
        </w:rPr>
      </w:pPr>
      <w:r w:rsidRPr="00920F14">
        <w:rPr>
          <w:rFonts w:asciiTheme="minorHAnsi" w:hAnsiTheme="minorHAnsi" w:cstheme="minorHAnsi"/>
          <w:i/>
          <w:sz w:val="24"/>
          <w:szCs w:val="24"/>
        </w:rPr>
        <w:t>27.367 ακίνητα ανήκουν σε 5.297 νομικά πρόσωπα</w:t>
      </w:r>
    </w:p>
    <w:p w14:paraId="5E2F1925" w14:textId="7437D6C6" w:rsidR="000358D9" w:rsidRPr="00920F14" w:rsidRDefault="000358D9" w:rsidP="00920F14">
      <w:pPr>
        <w:pStyle w:val="a5"/>
        <w:numPr>
          <w:ilvl w:val="0"/>
          <w:numId w:val="39"/>
        </w:numPr>
        <w:spacing w:line="259" w:lineRule="auto"/>
        <w:ind w:left="714" w:hanging="357"/>
        <w:rPr>
          <w:rFonts w:asciiTheme="minorHAnsi" w:hAnsiTheme="minorHAnsi" w:cstheme="minorHAnsi"/>
          <w:i/>
          <w:sz w:val="24"/>
          <w:szCs w:val="24"/>
        </w:rPr>
      </w:pPr>
      <w:r w:rsidRPr="00920F14">
        <w:rPr>
          <w:rFonts w:asciiTheme="minorHAnsi" w:hAnsiTheme="minorHAnsi" w:cstheme="minorHAnsi"/>
          <w:i/>
          <w:sz w:val="24"/>
          <w:szCs w:val="24"/>
        </w:rPr>
        <w:t>141.452 ακίνητα ανήκουν σε 102.422 φυσικά πρόσωπα. Από αυτά έως 2 ακίνητα έχουν 94.982 φυσικά πρόσωπα (92,7% των φυσικών προσώπων). Τρία ή περισσότερα ακίνητα έχουν 7.440 φυσικά πρόσωπα και αντιστοιχούν σε 30.329 ακίνητα.</w:t>
      </w:r>
    </w:p>
    <w:p w14:paraId="3F150E17" w14:textId="77777777" w:rsidR="00920F14" w:rsidRDefault="00920F14" w:rsidP="000358D9">
      <w:pPr>
        <w:spacing w:after="0"/>
        <w:jc w:val="both"/>
        <w:rPr>
          <w:rFonts w:cstheme="minorHAnsi"/>
          <w:i/>
          <w:sz w:val="24"/>
          <w:szCs w:val="24"/>
        </w:rPr>
      </w:pPr>
    </w:p>
    <w:p w14:paraId="4FE4855F" w14:textId="62FDD659" w:rsidR="000358D9" w:rsidRPr="000358D9" w:rsidRDefault="000358D9" w:rsidP="000358D9">
      <w:pPr>
        <w:spacing w:after="0"/>
        <w:jc w:val="both"/>
        <w:rPr>
          <w:rFonts w:cstheme="minorHAnsi"/>
          <w:i/>
          <w:sz w:val="24"/>
          <w:szCs w:val="24"/>
        </w:rPr>
      </w:pPr>
      <w:r w:rsidRPr="000358D9">
        <w:rPr>
          <w:rFonts w:cstheme="minorHAnsi"/>
          <w:i/>
          <w:sz w:val="24"/>
          <w:szCs w:val="24"/>
        </w:rPr>
        <w:t xml:space="preserve">Συνεπώς, συνολικά θα κληθούν να καταβάλουν ΦΠΑ και τέλος </w:t>
      </w:r>
      <w:proofErr w:type="spellStart"/>
      <w:r w:rsidRPr="000358D9">
        <w:rPr>
          <w:rFonts w:cstheme="minorHAnsi"/>
          <w:i/>
          <w:sz w:val="24"/>
          <w:szCs w:val="24"/>
        </w:rPr>
        <w:t>παρεπιδημούντων</w:t>
      </w:r>
      <w:proofErr w:type="spellEnd"/>
      <w:r w:rsidRPr="000358D9">
        <w:rPr>
          <w:rFonts w:cstheme="minorHAnsi"/>
          <w:i/>
          <w:sz w:val="24"/>
          <w:szCs w:val="24"/>
        </w:rPr>
        <w:t xml:space="preserve"> 7.440 φυσικά πρόσωπα και 5.297 νομικά πρόσωπα με 57.696 ακίνητα (το 34,2% των ακινήτων), εκτός εάν επιλέξουν μέρος αυτών να τα μετατρέψουν σε μακροχρόνια </w:t>
      </w:r>
      <w:r w:rsidRPr="000358D9">
        <w:rPr>
          <w:rFonts w:cstheme="minorHAnsi"/>
          <w:i/>
          <w:sz w:val="24"/>
          <w:szCs w:val="24"/>
        </w:rPr>
        <w:lastRenderedPageBreak/>
        <w:t>μίσθωση. Σημειώνεται ότι 4.100 φυσικά πρόσωπα έχουν ακριβώς τρία ακίνητα (και επιπλέον 1.687 φυσικά πρόσωπα έχουν τέσσερα ακίνητα).</w:t>
      </w:r>
    </w:p>
    <w:p w14:paraId="0CDD5AB1" w14:textId="77777777" w:rsidR="000358D9" w:rsidRPr="000358D9" w:rsidRDefault="000358D9" w:rsidP="000358D9">
      <w:pPr>
        <w:spacing w:after="0"/>
        <w:jc w:val="both"/>
        <w:rPr>
          <w:rFonts w:cstheme="minorHAnsi"/>
          <w:i/>
          <w:sz w:val="24"/>
          <w:szCs w:val="24"/>
        </w:rPr>
      </w:pPr>
    </w:p>
    <w:p w14:paraId="3D061A7D" w14:textId="77777777" w:rsidR="003E13DB" w:rsidRDefault="003E13DB" w:rsidP="000358D9">
      <w:pPr>
        <w:spacing w:after="0"/>
        <w:jc w:val="center"/>
        <w:rPr>
          <w:rFonts w:cstheme="minorHAnsi"/>
          <w:b/>
          <w:sz w:val="24"/>
          <w:szCs w:val="24"/>
        </w:rPr>
      </w:pPr>
    </w:p>
    <w:p w14:paraId="7698B4B2" w14:textId="77777777" w:rsidR="003E13DB" w:rsidRDefault="003E13DB" w:rsidP="000358D9">
      <w:pPr>
        <w:spacing w:after="0"/>
        <w:jc w:val="center"/>
        <w:rPr>
          <w:rFonts w:cstheme="minorHAnsi"/>
          <w:b/>
          <w:sz w:val="24"/>
          <w:szCs w:val="24"/>
        </w:rPr>
      </w:pPr>
    </w:p>
    <w:p w14:paraId="00CC7EB6" w14:textId="77777777" w:rsidR="003E13DB" w:rsidRDefault="003E13DB" w:rsidP="000358D9">
      <w:pPr>
        <w:spacing w:after="0"/>
        <w:jc w:val="center"/>
        <w:rPr>
          <w:rFonts w:cstheme="minorHAnsi"/>
          <w:b/>
          <w:sz w:val="24"/>
          <w:szCs w:val="24"/>
        </w:rPr>
      </w:pPr>
    </w:p>
    <w:p w14:paraId="22ECEF3A" w14:textId="5B5902C7" w:rsidR="000358D9" w:rsidRPr="000358D9" w:rsidRDefault="000358D9" w:rsidP="000358D9">
      <w:pPr>
        <w:spacing w:after="0"/>
        <w:jc w:val="center"/>
        <w:rPr>
          <w:rFonts w:cstheme="minorHAnsi"/>
          <w:b/>
          <w:sz w:val="24"/>
          <w:szCs w:val="24"/>
        </w:rPr>
      </w:pPr>
      <w:r w:rsidRPr="000358D9">
        <w:rPr>
          <w:rFonts w:cstheme="minorHAnsi"/>
          <w:b/>
          <w:sz w:val="24"/>
          <w:szCs w:val="24"/>
        </w:rPr>
        <w:t>Γ. Κοινωνική – εισοδηματική πολιτική</w:t>
      </w:r>
    </w:p>
    <w:p w14:paraId="76A23D03" w14:textId="77777777" w:rsidR="000358D9" w:rsidRPr="000358D9" w:rsidRDefault="000358D9" w:rsidP="000358D9">
      <w:pPr>
        <w:spacing w:after="0"/>
        <w:jc w:val="both"/>
        <w:rPr>
          <w:rFonts w:cstheme="minorHAnsi"/>
          <w:sz w:val="24"/>
          <w:szCs w:val="24"/>
        </w:rPr>
      </w:pPr>
    </w:p>
    <w:p w14:paraId="490B9E17" w14:textId="77777777" w:rsidR="000358D9" w:rsidRPr="000358D9" w:rsidRDefault="000358D9" w:rsidP="000358D9">
      <w:pPr>
        <w:spacing w:after="0"/>
        <w:jc w:val="both"/>
        <w:rPr>
          <w:rFonts w:cstheme="minorHAnsi"/>
          <w:b/>
          <w:sz w:val="24"/>
          <w:szCs w:val="24"/>
        </w:rPr>
      </w:pPr>
      <w:r w:rsidRPr="000358D9">
        <w:rPr>
          <w:rFonts w:cstheme="minorHAnsi"/>
          <w:b/>
          <w:sz w:val="24"/>
          <w:szCs w:val="24"/>
        </w:rPr>
        <w:t>Επιπλέον των παρεμβάσεων που ήδη θεσμοθετήθηκαν (αυξήσεις μισθών δημοσίων υπαλλήλων, αφορολόγητο, κλπ.) υλοποιούνται τα ακόλουθα:</w:t>
      </w:r>
    </w:p>
    <w:p w14:paraId="25A0C341" w14:textId="77777777" w:rsidR="003E13DB" w:rsidRDefault="003E13DB" w:rsidP="000358D9">
      <w:pPr>
        <w:spacing w:after="0"/>
        <w:jc w:val="both"/>
        <w:rPr>
          <w:rFonts w:cstheme="minorHAnsi"/>
          <w:sz w:val="24"/>
          <w:szCs w:val="24"/>
        </w:rPr>
      </w:pPr>
    </w:p>
    <w:p w14:paraId="5DBCB7E3" w14:textId="00BA1A2F" w:rsidR="000358D9" w:rsidRPr="000358D9" w:rsidRDefault="000358D9" w:rsidP="000358D9">
      <w:pPr>
        <w:spacing w:after="0"/>
        <w:jc w:val="both"/>
        <w:rPr>
          <w:rFonts w:cstheme="minorHAnsi"/>
          <w:sz w:val="24"/>
          <w:szCs w:val="24"/>
        </w:rPr>
      </w:pPr>
      <w:r w:rsidRPr="000358D9">
        <w:rPr>
          <w:rFonts w:cstheme="minorHAnsi"/>
          <w:sz w:val="24"/>
          <w:szCs w:val="24"/>
        </w:rPr>
        <w:t>1.</w:t>
      </w:r>
      <w:r w:rsidR="003E13DB">
        <w:rPr>
          <w:rFonts w:cstheme="minorHAnsi"/>
          <w:sz w:val="24"/>
          <w:szCs w:val="24"/>
        </w:rPr>
        <w:t xml:space="preserve"> </w:t>
      </w:r>
      <w:r w:rsidRPr="000358D9">
        <w:rPr>
          <w:rFonts w:cstheme="minorHAnsi"/>
          <w:b/>
          <w:sz w:val="24"/>
          <w:szCs w:val="24"/>
        </w:rPr>
        <w:t>Αυξάνονται εκ νέου από 1/1/2024</w:t>
      </w:r>
      <w:r w:rsidRPr="000358D9">
        <w:rPr>
          <w:rFonts w:cstheme="minorHAnsi"/>
          <w:sz w:val="24"/>
          <w:szCs w:val="24"/>
        </w:rPr>
        <w:t xml:space="preserve"> </w:t>
      </w:r>
      <w:r w:rsidRPr="000358D9">
        <w:rPr>
          <w:rFonts w:cstheme="minorHAnsi"/>
          <w:b/>
          <w:sz w:val="24"/>
          <w:szCs w:val="24"/>
        </w:rPr>
        <w:t>οι</w:t>
      </w:r>
      <w:r w:rsidRPr="000358D9">
        <w:rPr>
          <w:rFonts w:cstheme="minorHAnsi"/>
          <w:sz w:val="24"/>
          <w:szCs w:val="24"/>
        </w:rPr>
        <w:t xml:space="preserve"> </w:t>
      </w:r>
      <w:r w:rsidRPr="000358D9">
        <w:rPr>
          <w:rFonts w:cstheme="minorHAnsi"/>
          <w:b/>
          <w:sz w:val="24"/>
          <w:szCs w:val="24"/>
        </w:rPr>
        <w:t>συντάξεις</w:t>
      </w:r>
      <w:r w:rsidRPr="000358D9">
        <w:rPr>
          <w:rFonts w:cstheme="minorHAnsi"/>
          <w:sz w:val="24"/>
          <w:szCs w:val="24"/>
        </w:rPr>
        <w:t xml:space="preserve"> με βάση το μέσο όρο του ΑΕΠ και του πληθωρισμού (με τα τωρινά δεδομένα, που ενδεχομένως μεταβληθούν, η αύξηση υπολογίζεται περί του 3%, με κόστος περί τα 400 εκατ. ευρώ ετησίως).</w:t>
      </w:r>
    </w:p>
    <w:p w14:paraId="054D83B6" w14:textId="77777777" w:rsidR="003E13DB" w:rsidRDefault="003E13DB" w:rsidP="000358D9">
      <w:pPr>
        <w:spacing w:after="0"/>
        <w:jc w:val="both"/>
        <w:rPr>
          <w:rFonts w:cstheme="minorHAnsi"/>
          <w:sz w:val="24"/>
          <w:szCs w:val="24"/>
        </w:rPr>
      </w:pPr>
    </w:p>
    <w:p w14:paraId="2BE77002" w14:textId="6992EB55" w:rsidR="000358D9" w:rsidRPr="000358D9" w:rsidRDefault="000358D9" w:rsidP="000358D9">
      <w:pPr>
        <w:spacing w:after="0"/>
        <w:jc w:val="both"/>
        <w:rPr>
          <w:rFonts w:cstheme="minorHAnsi"/>
          <w:sz w:val="24"/>
          <w:szCs w:val="24"/>
        </w:rPr>
      </w:pPr>
      <w:r w:rsidRPr="000358D9">
        <w:rPr>
          <w:rFonts w:cstheme="minorHAnsi"/>
          <w:sz w:val="24"/>
          <w:szCs w:val="24"/>
        </w:rPr>
        <w:t>2.</w:t>
      </w:r>
      <w:r w:rsidR="003E13DB">
        <w:rPr>
          <w:rFonts w:cstheme="minorHAnsi"/>
          <w:sz w:val="24"/>
          <w:szCs w:val="24"/>
        </w:rPr>
        <w:t xml:space="preserve"> </w:t>
      </w:r>
      <w:r w:rsidRPr="000358D9">
        <w:rPr>
          <w:rFonts w:cstheme="minorHAnsi"/>
          <w:sz w:val="24"/>
          <w:szCs w:val="24"/>
        </w:rPr>
        <w:t xml:space="preserve">Για </w:t>
      </w:r>
      <w:r w:rsidRPr="000358D9">
        <w:rPr>
          <w:rFonts w:cstheme="minorHAnsi"/>
          <w:b/>
          <w:sz w:val="24"/>
          <w:szCs w:val="24"/>
        </w:rPr>
        <w:t>750.000 περίπου συνταξιούχους</w:t>
      </w:r>
      <w:r w:rsidRPr="000358D9">
        <w:rPr>
          <w:rFonts w:cstheme="minorHAnsi"/>
          <w:sz w:val="24"/>
          <w:szCs w:val="24"/>
        </w:rPr>
        <w:t xml:space="preserve"> με συντάξεις έως 1.600 ευρώ, που έχουν </w:t>
      </w:r>
      <w:r w:rsidRPr="000358D9">
        <w:rPr>
          <w:rFonts w:cstheme="minorHAnsi"/>
          <w:b/>
          <w:sz w:val="24"/>
          <w:szCs w:val="24"/>
        </w:rPr>
        <w:t>προσωπική διαφορά</w:t>
      </w:r>
      <w:r w:rsidRPr="000358D9">
        <w:rPr>
          <w:rFonts w:cstheme="minorHAnsi"/>
          <w:sz w:val="24"/>
          <w:szCs w:val="24"/>
        </w:rPr>
        <w:t xml:space="preserve"> (άνω των 10 ευρώ), θα δοθεί στα τέλη Δεκεμβρίου 2023 </w:t>
      </w:r>
      <w:r w:rsidRPr="000358D9">
        <w:rPr>
          <w:rFonts w:cstheme="minorHAnsi"/>
          <w:b/>
          <w:sz w:val="24"/>
          <w:szCs w:val="24"/>
        </w:rPr>
        <w:t>έκτακτη οικονομική ενίσχυση από 100 έως 200 ευρώ</w:t>
      </w:r>
      <w:r w:rsidRPr="000358D9">
        <w:rPr>
          <w:rFonts w:cstheme="minorHAnsi"/>
          <w:sz w:val="24"/>
          <w:szCs w:val="24"/>
        </w:rPr>
        <w:t>.  Το δημοσιονομικό κόστος εκτιμάται σε περίπου 107 εκατ. ευρώ. Πιο συγκεκριμένα:</w:t>
      </w:r>
    </w:p>
    <w:p w14:paraId="68C0CFD2" w14:textId="2B3D7D55" w:rsidR="000358D9" w:rsidRPr="003E13DB" w:rsidRDefault="000358D9" w:rsidP="003E13DB">
      <w:pPr>
        <w:pStyle w:val="a5"/>
        <w:numPr>
          <w:ilvl w:val="0"/>
          <w:numId w:val="41"/>
        </w:numPr>
        <w:spacing w:line="259" w:lineRule="auto"/>
        <w:ind w:left="1077"/>
        <w:rPr>
          <w:rFonts w:asciiTheme="minorHAnsi" w:hAnsiTheme="minorHAnsi" w:cstheme="minorHAnsi"/>
          <w:sz w:val="24"/>
          <w:szCs w:val="24"/>
        </w:rPr>
      </w:pPr>
      <w:r w:rsidRPr="003E13DB">
        <w:rPr>
          <w:rFonts w:asciiTheme="minorHAnsi" w:hAnsiTheme="minorHAnsi" w:cstheme="minorHAnsi"/>
          <w:sz w:val="24"/>
          <w:szCs w:val="24"/>
        </w:rPr>
        <w:t>για όσους λαμβάνουν άθροισμα κύριων συντάξεων έως 700 ευρώ, θα δοθεί ενίσχυση 200 ευρώ,</w:t>
      </w:r>
    </w:p>
    <w:p w14:paraId="47F195FD" w14:textId="2331037C" w:rsidR="000358D9" w:rsidRPr="003E13DB" w:rsidRDefault="000358D9" w:rsidP="003E13DB">
      <w:pPr>
        <w:pStyle w:val="a5"/>
        <w:numPr>
          <w:ilvl w:val="0"/>
          <w:numId w:val="41"/>
        </w:numPr>
        <w:spacing w:line="259" w:lineRule="auto"/>
        <w:ind w:left="1077"/>
        <w:rPr>
          <w:rFonts w:asciiTheme="minorHAnsi" w:hAnsiTheme="minorHAnsi" w:cstheme="minorHAnsi"/>
          <w:sz w:val="24"/>
          <w:szCs w:val="24"/>
        </w:rPr>
      </w:pPr>
      <w:r w:rsidRPr="003E13DB">
        <w:rPr>
          <w:rFonts w:asciiTheme="minorHAnsi" w:hAnsiTheme="minorHAnsi" w:cstheme="minorHAnsi"/>
          <w:sz w:val="24"/>
          <w:szCs w:val="24"/>
        </w:rPr>
        <w:t>για όσους λαμβάνουν άθροισμα κύριων συντάξεων από 700,1 έως 1100 ευρώ, θα δοθεί ενίσχυση 150 ευρώ,</w:t>
      </w:r>
    </w:p>
    <w:p w14:paraId="1A13D790" w14:textId="7FE4BF7F" w:rsidR="000358D9" w:rsidRPr="003E13DB" w:rsidRDefault="000358D9" w:rsidP="003E13DB">
      <w:pPr>
        <w:pStyle w:val="a5"/>
        <w:numPr>
          <w:ilvl w:val="0"/>
          <w:numId w:val="41"/>
        </w:numPr>
        <w:spacing w:line="259" w:lineRule="auto"/>
        <w:ind w:left="1077"/>
        <w:rPr>
          <w:rFonts w:asciiTheme="minorHAnsi" w:hAnsiTheme="minorHAnsi" w:cstheme="minorHAnsi"/>
          <w:sz w:val="24"/>
          <w:szCs w:val="24"/>
        </w:rPr>
      </w:pPr>
      <w:r w:rsidRPr="003E13DB">
        <w:rPr>
          <w:rFonts w:asciiTheme="minorHAnsi" w:hAnsiTheme="minorHAnsi" w:cstheme="minorHAnsi"/>
          <w:sz w:val="24"/>
          <w:szCs w:val="24"/>
        </w:rPr>
        <w:t>για όσους λαμβάνουν άθροισμα κύριων συντάξεων από 1100,1 έως 1600 ευρώ, θα δοθεί ενίσχυση 100 ευρώ.</w:t>
      </w:r>
    </w:p>
    <w:p w14:paraId="09571BB4" w14:textId="77777777" w:rsidR="003E13DB" w:rsidRDefault="003E13DB" w:rsidP="000358D9">
      <w:pPr>
        <w:spacing w:after="0"/>
        <w:jc w:val="both"/>
        <w:rPr>
          <w:rFonts w:cstheme="minorHAnsi"/>
          <w:sz w:val="24"/>
          <w:szCs w:val="24"/>
        </w:rPr>
      </w:pPr>
    </w:p>
    <w:p w14:paraId="06418230" w14:textId="1498270D" w:rsidR="000358D9" w:rsidRPr="000358D9" w:rsidRDefault="000358D9" w:rsidP="000358D9">
      <w:pPr>
        <w:spacing w:after="0"/>
        <w:jc w:val="both"/>
        <w:rPr>
          <w:rFonts w:cstheme="minorHAnsi"/>
          <w:sz w:val="24"/>
          <w:szCs w:val="24"/>
        </w:rPr>
      </w:pPr>
      <w:r w:rsidRPr="000358D9">
        <w:rPr>
          <w:rFonts w:cstheme="minorHAnsi"/>
          <w:sz w:val="24"/>
          <w:szCs w:val="24"/>
        </w:rPr>
        <w:t>3.</w:t>
      </w:r>
      <w:r w:rsidR="003E13DB">
        <w:rPr>
          <w:rFonts w:cstheme="minorHAnsi"/>
          <w:sz w:val="24"/>
          <w:szCs w:val="24"/>
        </w:rPr>
        <w:t xml:space="preserve"> </w:t>
      </w:r>
      <w:r w:rsidRPr="000358D9">
        <w:rPr>
          <w:rFonts w:cstheme="minorHAnsi"/>
          <w:b/>
          <w:sz w:val="24"/>
          <w:szCs w:val="24"/>
        </w:rPr>
        <w:t>Από τον Δεκέμβριο του 2023 αυξάνεται κατά 8% το</w:t>
      </w:r>
      <w:r w:rsidRPr="000358D9">
        <w:rPr>
          <w:rFonts w:cstheme="minorHAnsi"/>
          <w:sz w:val="24"/>
          <w:szCs w:val="24"/>
        </w:rPr>
        <w:t xml:space="preserve"> </w:t>
      </w:r>
      <w:r w:rsidRPr="000358D9">
        <w:rPr>
          <w:rFonts w:cstheme="minorHAnsi"/>
          <w:b/>
          <w:sz w:val="24"/>
          <w:szCs w:val="24"/>
        </w:rPr>
        <w:t>ελάχιστο εγγυημένο εισόδημα</w:t>
      </w:r>
      <w:r w:rsidRPr="000358D9">
        <w:rPr>
          <w:rFonts w:cstheme="minorHAnsi"/>
          <w:sz w:val="24"/>
          <w:szCs w:val="24"/>
        </w:rPr>
        <w:t>. Αφορά περί τους 225.000 ωφελούμενους του ελάχιστου εγγυημένου εισοδήματος. Το ετήσιο κόστος ανέρχεται σε περίπου 43 εκατ. ευρώ ετησίως (περί τα 3,5 εκατ. ευρώ για τον Δεκέμβριο 2023).</w:t>
      </w:r>
    </w:p>
    <w:p w14:paraId="34E4E7DB" w14:textId="77777777" w:rsidR="003E13DB" w:rsidRDefault="003E13DB" w:rsidP="000358D9">
      <w:pPr>
        <w:spacing w:after="0"/>
        <w:jc w:val="both"/>
        <w:rPr>
          <w:rFonts w:cstheme="minorHAnsi"/>
          <w:sz w:val="24"/>
          <w:szCs w:val="24"/>
        </w:rPr>
      </w:pPr>
    </w:p>
    <w:p w14:paraId="1A2C1ADF" w14:textId="2084E24D" w:rsidR="000358D9" w:rsidRPr="000358D9" w:rsidRDefault="000358D9" w:rsidP="000358D9">
      <w:pPr>
        <w:spacing w:after="0"/>
        <w:jc w:val="both"/>
        <w:rPr>
          <w:rFonts w:cstheme="minorHAnsi"/>
          <w:sz w:val="24"/>
          <w:szCs w:val="24"/>
        </w:rPr>
      </w:pPr>
      <w:r w:rsidRPr="000358D9">
        <w:rPr>
          <w:rFonts w:cstheme="minorHAnsi"/>
          <w:sz w:val="24"/>
          <w:szCs w:val="24"/>
        </w:rPr>
        <w:t>4.</w:t>
      </w:r>
      <w:r w:rsidR="003E13DB">
        <w:rPr>
          <w:rFonts w:cstheme="minorHAnsi"/>
          <w:sz w:val="24"/>
          <w:szCs w:val="24"/>
        </w:rPr>
        <w:t xml:space="preserve"> </w:t>
      </w:r>
      <w:r w:rsidRPr="000358D9">
        <w:rPr>
          <w:rFonts w:cstheme="minorHAnsi"/>
          <w:sz w:val="24"/>
          <w:szCs w:val="24"/>
        </w:rPr>
        <w:t xml:space="preserve">Προχωρά η επιστροφή του </w:t>
      </w:r>
      <w:r w:rsidRPr="000358D9">
        <w:rPr>
          <w:rFonts w:cstheme="minorHAnsi"/>
          <w:b/>
          <w:sz w:val="24"/>
          <w:szCs w:val="24"/>
        </w:rPr>
        <w:t>ΕΦΚ στο αγροτικό πετρέλαιο</w:t>
      </w:r>
      <w:r w:rsidRPr="000358D9">
        <w:rPr>
          <w:rFonts w:cstheme="minorHAnsi"/>
          <w:sz w:val="24"/>
          <w:szCs w:val="24"/>
        </w:rPr>
        <w:t xml:space="preserve"> και για το 2023 με κόστος 76 εκατ. ευρώ.</w:t>
      </w:r>
    </w:p>
    <w:p w14:paraId="3151C25C" w14:textId="77777777" w:rsidR="003E13DB" w:rsidRDefault="003E13DB" w:rsidP="000358D9">
      <w:pPr>
        <w:spacing w:after="0"/>
        <w:jc w:val="both"/>
        <w:rPr>
          <w:rFonts w:cstheme="minorHAnsi"/>
          <w:sz w:val="24"/>
          <w:szCs w:val="24"/>
        </w:rPr>
      </w:pPr>
    </w:p>
    <w:p w14:paraId="290F8FAA" w14:textId="38E90177" w:rsidR="000358D9" w:rsidRDefault="000358D9" w:rsidP="000358D9">
      <w:pPr>
        <w:spacing w:after="0"/>
        <w:jc w:val="both"/>
        <w:rPr>
          <w:rFonts w:cstheme="minorHAnsi"/>
          <w:sz w:val="24"/>
          <w:szCs w:val="24"/>
        </w:rPr>
      </w:pPr>
      <w:r w:rsidRPr="000358D9">
        <w:rPr>
          <w:rFonts w:cstheme="minorHAnsi"/>
          <w:sz w:val="24"/>
          <w:szCs w:val="24"/>
        </w:rPr>
        <w:t>5.</w:t>
      </w:r>
      <w:r w:rsidR="003E13DB">
        <w:rPr>
          <w:rFonts w:cstheme="minorHAnsi"/>
          <w:sz w:val="24"/>
          <w:szCs w:val="24"/>
        </w:rPr>
        <w:t xml:space="preserve"> </w:t>
      </w:r>
      <w:r w:rsidRPr="000358D9">
        <w:rPr>
          <w:rFonts w:cstheme="minorHAnsi"/>
          <w:sz w:val="24"/>
          <w:szCs w:val="24"/>
        </w:rPr>
        <w:t xml:space="preserve">Για τη χειμερινή περίοδο 2023-2024 χορηγείται </w:t>
      </w:r>
      <w:r w:rsidRPr="000358D9">
        <w:rPr>
          <w:rFonts w:cstheme="minorHAnsi"/>
          <w:b/>
          <w:sz w:val="24"/>
          <w:szCs w:val="24"/>
        </w:rPr>
        <w:t>επίδομα θέρμανσης</w:t>
      </w:r>
      <w:r w:rsidRPr="000358D9">
        <w:rPr>
          <w:rFonts w:cstheme="minorHAnsi"/>
          <w:sz w:val="24"/>
          <w:szCs w:val="24"/>
        </w:rPr>
        <w:t xml:space="preserve"> στα ίδια επίπεδα με πέρυσι, δηλαδή 350 ευρώ πολλαπλασιαζόμενο με </w:t>
      </w:r>
      <w:proofErr w:type="spellStart"/>
      <w:r w:rsidRPr="000358D9">
        <w:rPr>
          <w:rFonts w:cstheme="minorHAnsi"/>
          <w:sz w:val="24"/>
          <w:szCs w:val="24"/>
        </w:rPr>
        <w:t>βαθμο</w:t>
      </w:r>
      <w:proofErr w:type="spellEnd"/>
      <w:r w:rsidRPr="000358D9">
        <w:rPr>
          <w:rFonts w:cstheme="minorHAnsi"/>
          <w:sz w:val="24"/>
          <w:szCs w:val="24"/>
        </w:rPr>
        <w:t xml:space="preserve">-ημέρες. Το εισοδηματικό όριο παραμένει το ίδιο για τον άγαμο (16.000 ευρώ) και τον έγγαμο (24.000 ευρώ), αλλά αυξάνεται για τις οικογένειες με παιδιά από 3.000 ευρώ για κάθε τέκνο, σε 5.000 ευρώ για κάθε τέκνο. Ωστόσο, δεν ισχύει η διπλή επιδότηση για όσους δικαιούχους καταναλώσουν για πρώτη φορά φέτος πετρέλαιο ή υγραέριο ή άλλες μορφές καυσίμων, πλην φυσικού αερίου, ενώ στα φυσικά πρόσωπα που ασκούν επιχειρηματική δραστηριότητα τίθεται πέραν του εισοδήματος και όριο τζίρου (80.000 ευρώ ετησίως). </w:t>
      </w:r>
      <w:r w:rsidRPr="000358D9">
        <w:rPr>
          <w:rFonts w:cstheme="minorHAnsi"/>
          <w:b/>
          <w:sz w:val="24"/>
          <w:szCs w:val="24"/>
        </w:rPr>
        <w:t>Το κόστος υπολογίζεται σε 237 εκατ. ευρώ</w:t>
      </w:r>
      <w:r w:rsidRPr="000358D9">
        <w:rPr>
          <w:rFonts w:cstheme="minorHAnsi"/>
          <w:sz w:val="24"/>
          <w:szCs w:val="24"/>
        </w:rPr>
        <w:t xml:space="preserve"> (έναντι 280 εκατ. </w:t>
      </w:r>
      <w:r w:rsidRPr="000358D9">
        <w:rPr>
          <w:rFonts w:cstheme="minorHAnsi"/>
          <w:sz w:val="24"/>
          <w:szCs w:val="24"/>
        </w:rPr>
        <w:lastRenderedPageBreak/>
        <w:t>ευρώ που ανήλθε πέρυσι, εκ των οποίων 189 εκατ. για το 2023 και 48 εκατ. για το 2024).</w:t>
      </w:r>
    </w:p>
    <w:p w14:paraId="74B0394C" w14:textId="77777777" w:rsidR="003E13DB" w:rsidRPr="000358D9" w:rsidRDefault="003E13DB" w:rsidP="000358D9">
      <w:pPr>
        <w:spacing w:after="0"/>
        <w:jc w:val="both"/>
        <w:rPr>
          <w:rFonts w:cstheme="minorHAnsi"/>
          <w:sz w:val="24"/>
          <w:szCs w:val="24"/>
        </w:rPr>
      </w:pPr>
    </w:p>
    <w:p w14:paraId="55073E81" w14:textId="5C69883D" w:rsidR="000358D9" w:rsidRPr="000358D9" w:rsidRDefault="000358D9" w:rsidP="000358D9">
      <w:pPr>
        <w:spacing w:after="0"/>
        <w:jc w:val="both"/>
        <w:rPr>
          <w:rFonts w:cstheme="minorHAnsi"/>
          <w:sz w:val="24"/>
          <w:szCs w:val="24"/>
        </w:rPr>
      </w:pPr>
      <w:r w:rsidRPr="000358D9">
        <w:rPr>
          <w:rFonts w:cstheme="minorHAnsi"/>
          <w:sz w:val="24"/>
          <w:szCs w:val="24"/>
        </w:rPr>
        <w:t>6.</w:t>
      </w:r>
      <w:r w:rsidR="003E13DB">
        <w:rPr>
          <w:rFonts w:cstheme="minorHAnsi"/>
          <w:sz w:val="24"/>
          <w:szCs w:val="24"/>
        </w:rPr>
        <w:t xml:space="preserve"> </w:t>
      </w:r>
      <w:r w:rsidRPr="000358D9">
        <w:rPr>
          <w:rFonts w:cstheme="minorHAnsi"/>
          <w:sz w:val="24"/>
          <w:szCs w:val="24"/>
        </w:rPr>
        <w:t xml:space="preserve">Θεσμοθετείται πρόγραμμα </w:t>
      </w:r>
      <w:r w:rsidRPr="000358D9">
        <w:rPr>
          <w:rFonts w:cstheme="minorHAnsi"/>
          <w:b/>
          <w:sz w:val="24"/>
          <w:szCs w:val="24"/>
        </w:rPr>
        <w:t>εναέριας διάσωσης</w:t>
      </w:r>
      <w:r w:rsidRPr="000358D9">
        <w:rPr>
          <w:rFonts w:cstheme="minorHAnsi"/>
          <w:sz w:val="24"/>
          <w:szCs w:val="24"/>
        </w:rPr>
        <w:t xml:space="preserve"> με 6 βάσεις ελικοπτέρων, με προϋπολογισμό 25 εκατ. ευρώ ετησίως.</w:t>
      </w:r>
    </w:p>
    <w:p w14:paraId="29ED8DF4" w14:textId="77777777" w:rsidR="003E13DB" w:rsidRDefault="003E13DB" w:rsidP="000358D9">
      <w:pPr>
        <w:spacing w:after="0"/>
        <w:jc w:val="both"/>
        <w:rPr>
          <w:rFonts w:cstheme="minorHAnsi"/>
          <w:sz w:val="24"/>
          <w:szCs w:val="24"/>
        </w:rPr>
      </w:pPr>
    </w:p>
    <w:p w14:paraId="11F5BB39" w14:textId="635AB563" w:rsidR="000358D9" w:rsidRPr="000358D9" w:rsidRDefault="000358D9" w:rsidP="000358D9">
      <w:pPr>
        <w:spacing w:after="0"/>
        <w:jc w:val="both"/>
        <w:rPr>
          <w:rFonts w:cstheme="minorHAnsi"/>
          <w:sz w:val="24"/>
          <w:szCs w:val="24"/>
        </w:rPr>
      </w:pPr>
      <w:r w:rsidRPr="000358D9">
        <w:rPr>
          <w:rFonts w:cstheme="minorHAnsi"/>
          <w:sz w:val="24"/>
          <w:szCs w:val="24"/>
        </w:rPr>
        <w:t>7.</w:t>
      </w:r>
      <w:r w:rsidR="003E13DB">
        <w:rPr>
          <w:rFonts w:cstheme="minorHAnsi"/>
          <w:sz w:val="24"/>
          <w:szCs w:val="24"/>
        </w:rPr>
        <w:t xml:space="preserve"> </w:t>
      </w:r>
      <w:r w:rsidRPr="000358D9">
        <w:rPr>
          <w:rFonts w:cstheme="minorHAnsi"/>
          <w:sz w:val="24"/>
          <w:szCs w:val="24"/>
        </w:rPr>
        <w:t xml:space="preserve">Αυξάνονται τα </w:t>
      </w:r>
      <w:r w:rsidRPr="000358D9">
        <w:rPr>
          <w:rFonts w:cstheme="minorHAnsi"/>
          <w:b/>
          <w:sz w:val="24"/>
          <w:szCs w:val="24"/>
        </w:rPr>
        <w:t>έξοδα διανυκτέρευσης</w:t>
      </w:r>
      <w:r w:rsidRPr="000358D9">
        <w:rPr>
          <w:rFonts w:cstheme="minorHAnsi"/>
          <w:sz w:val="24"/>
          <w:szCs w:val="24"/>
        </w:rPr>
        <w:t xml:space="preserve"> </w:t>
      </w:r>
      <w:proofErr w:type="spellStart"/>
      <w:r w:rsidRPr="000358D9">
        <w:rPr>
          <w:rFonts w:cstheme="minorHAnsi"/>
          <w:sz w:val="24"/>
          <w:szCs w:val="24"/>
        </w:rPr>
        <w:t>ενστόλων</w:t>
      </w:r>
      <w:proofErr w:type="spellEnd"/>
      <w:r w:rsidRPr="000358D9">
        <w:rPr>
          <w:rFonts w:cstheme="minorHAnsi"/>
          <w:sz w:val="24"/>
          <w:szCs w:val="24"/>
        </w:rPr>
        <w:t xml:space="preserve"> στα επίπεδα που ισχύουν με το νέο μισθολόγιο για τους υπόλοιπους δημοσίους υπαλλήλους από 1/1/2024. Κόστος 12 εκατ. ευρώ ετησίως.</w:t>
      </w:r>
    </w:p>
    <w:p w14:paraId="4E3B1C15" w14:textId="77777777" w:rsidR="003E13DB" w:rsidRDefault="003E13DB" w:rsidP="000358D9">
      <w:pPr>
        <w:spacing w:after="0"/>
        <w:jc w:val="both"/>
        <w:rPr>
          <w:rFonts w:cstheme="minorHAnsi"/>
          <w:sz w:val="24"/>
          <w:szCs w:val="24"/>
        </w:rPr>
      </w:pPr>
    </w:p>
    <w:p w14:paraId="1B1C43D0" w14:textId="46B78B6B" w:rsidR="000358D9" w:rsidRPr="000358D9" w:rsidRDefault="000358D9" w:rsidP="000358D9">
      <w:pPr>
        <w:spacing w:after="0"/>
        <w:jc w:val="both"/>
        <w:rPr>
          <w:rFonts w:cstheme="minorHAnsi"/>
          <w:sz w:val="24"/>
          <w:szCs w:val="24"/>
        </w:rPr>
      </w:pPr>
      <w:r w:rsidRPr="000358D9">
        <w:rPr>
          <w:rFonts w:cstheme="minorHAnsi"/>
          <w:sz w:val="24"/>
          <w:szCs w:val="24"/>
        </w:rPr>
        <w:t>8.</w:t>
      </w:r>
      <w:r w:rsidR="003E13DB">
        <w:rPr>
          <w:rFonts w:cstheme="minorHAnsi"/>
          <w:sz w:val="24"/>
          <w:szCs w:val="24"/>
        </w:rPr>
        <w:t xml:space="preserve"> </w:t>
      </w:r>
      <w:r w:rsidRPr="000358D9">
        <w:rPr>
          <w:rFonts w:cstheme="minorHAnsi"/>
          <w:sz w:val="24"/>
          <w:szCs w:val="24"/>
        </w:rPr>
        <w:t xml:space="preserve">Καταργείται η μείωση συντάξεων 30% όσων </w:t>
      </w:r>
      <w:r w:rsidRPr="000358D9">
        <w:rPr>
          <w:rFonts w:cstheme="minorHAnsi"/>
          <w:b/>
          <w:sz w:val="24"/>
          <w:szCs w:val="24"/>
        </w:rPr>
        <w:t>συνταξιούχων εργάζονται</w:t>
      </w:r>
      <w:r w:rsidRPr="000358D9">
        <w:rPr>
          <w:rFonts w:cstheme="minorHAnsi"/>
          <w:sz w:val="24"/>
          <w:szCs w:val="24"/>
        </w:rPr>
        <w:t xml:space="preserve"> και αντικαθίσταται με εισφορά της τάξεως του 10% επί των επιπρόσθετων αμοιβών από την εργασία.</w:t>
      </w:r>
    </w:p>
    <w:p w14:paraId="5253B569" w14:textId="77777777" w:rsidR="003E13DB" w:rsidRDefault="003E13DB" w:rsidP="000358D9">
      <w:pPr>
        <w:spacing w:after="0"/>
        <w:jc w:val="both"/>
        <w:rPr>
          <w:rFonts w:cstheme="minorHAnsi"/>
          <w:sz w:val="24"/>
          <w:szCs w:val="24"/>
        </w:rPr>
      </w:pPr>
    </w:p>
    <w:p w14:paraId="26624EB1" w14:textId="040BC365" w:rsidR="000358D9" w:rsidRDefault="000358D9" w:rsidP="000358D9">
      <w:pPr>
        <w:spacing w:after="0"/>
        <w:jc w:val="both"/>
        <w:rPr>
          <w:rFonts w:cstheme="minorHAnsi"/>
          <w:sz w:val="24"/>
          <w:szCs w:val="24"/>
        </w:rPr>
      </w:pPr>
      <w:r w:rsidRPr="000358D9">
        <w:rPr>
          <w:rFonts w:cstheme="minorHAnsi"/>
          <w:sz w:val="24"/>
          <w:szCs w:val="24"/>
        </w:rPr>
        <w:t>9.</w:t>
      </w:r>
      <w:r w:rsidR="003E13DB">
        <w:rPr>
          <w:rFonts w:cstheme="minorHAnsi"/>
          <w:sz w:val="24"/>
          <w:szCs w:val="24"/>
        </w:rPr>
        <w:t xml:space="preserve"> </w:t>
      </w:r>
      <w:r w:rsidRPr="000358D9">
        <w:rPr>
          <w:rFonts w:cstheme="minorHAnsi"/>
          <w:sz w:val="24"/>
          <w:szCs w:val="24"/>
        </w:rPr>
        <w:t xml:space="preserve">Αυξάνεται από 1/1/2024 το </w:t>
      </w:r>
      <w:r w:rsidRPr="000358D9">
        <w:rPr>
          <w:rFonts w:cstheme="minorHAnsi"/>
          <w:b/>
          <w:sz w:val="24"/>
          <w:szCs w:val="24"/>
        </w:rPr>
        <w:t>επίδομα μητρότητας</w:t>
      </w:r>
      <w:r w:rsidRPr="000358D9">
        <w:rPr>
          <w:rFonts w:cstheme="minorHAnsi"/>
          <w:sz w:val="24"/>
          <w:szCs w:val="24"/>
        </w:rPr>
        <w:t xml:space="preserve"> στους ελεύθερους επαγγελματίες και τους αγρότες στους 9 μήνες, στο ύψος του κατώτατου μισθού. Το κόστος υπολογίζεται σε 40 εκατ. ευρώ ετησίως.</w:t>
      </w:r>
    </w:p>
    <w:p w14:paraId="2CB6C29C" w14:textId="77777777" w:rsidR="003E13DB" w:rsidRPr="000358D9" w:rsidRDefault="003E13DB" w:rsidP="000358D9">
      <w:pPr>
        <w:spacing w:after="0"/>
        <w:jc w:val="both"/>
        <w:rPr>
          <w:rFonts w:cstheme="minorHAnsi"/>
          <w:sz w:val="24"/>
          <w:szCs w:val="24"/>
        </w:rPr>
      </w:pPr>
    </w:p>
    <w:p w14:paraId="2471A4C2" w14:textId="77777777" w:rsidR="000358D9" w:rsidRPr="000358D9" w:rsidRDefault="000358D9" w:rsidP="000358D9">
      <w:pPr>
        <w:spacing w:after="0"/>
        <w:jc w:val="both"/>
        <w:rPr>
          <w:rFonts w:cstheme="minorHAnsi"/>
          <w:sz w:val="24"/>
          <w:szCs w:val="24"/>
        </w:rPr>
      </w:pPr>
      <w:r w:rsidRPr="000358D9">
        <w:rPr>
          <w:rFonts w:cstheme="minorHAnsi"/>
          <w:sz w:val="24"/>
          <w:szCs w:val="24"/>
        </w:rPr>
        <w:t>10. Όπως ήδη παρουσιάστηκε αναλυτικά από το Υπουργείο Εργασίας και Κοινωνικής Ασφάλισης, από την 1η Ιανουαρίου 2024 ξεπαγώνουν οι «τριετίες» και κάθε επίδομα προϋπηρεσίας, που βρίσκονταν σε αναστολή από το 2012.</w:t>
      </w:r>
    </w:p>
    <w:p w14:paraId="1D506644" w14:textId="77777777" w:rsidR="003E13DB" w:rsidRDefault="003E13DB" w:rsidP="000358D9">
      <w:pPr>
        <w:spacing w:after="0"/>
        <w:jc w:val="both"/>
        <w:rPr>
          <w:rFonts w:cstheme="minorHAnsi"/>
          <w:sz w:val="24"/>
          <w:szCs w:val="24"/>
        </w:rPr>
      </w:pPr>
    </w:p>
    <w:p w14:paraId="36CA72C1" w14:textId="543FC2A3" w:rsidR="000358D9" w:rsidRDefault="000358D9" w:rsidP="000358D9">
      <w:pPr>
        <w:spacing w:after="0"/>
        <w:jc w:val="both"/>
        <w:rPr>
          <w:rFonts w:cstheme="minorHAnsi"/>
          <w:sz w:val="24"/>
          <w:szCs w:val="24"/>
        </w:rPr>
      </w:pPr>
      <w:r w:rsidRPr="000358D9">
        <w:rPr>
          <w:rFonts w:cstheme="minorHAnsi"/>
          <w:sz w:val="24"/>
          <w:szCs w:val="24"/>
        </w:rPr>
        <w:t>11.</w:t>
      </w:r>
      <w:r w:rsidR="003E13DB">
        <w:rPr>
          <w:rFonts w:cstheme="minorHAnsi"/>
          <w:sz w:val="24"/>
          <w:szCs w:val="24"/>
        </w:rPr>
        <w:t xml:space="preserve"> </w:t>
      </w:r>
      <w:r w:rsidRPr="000358D9">
        <w:rPr>
          <w:rFonts w:cstheme="minorHAnsi"/>
          <w:sz w:val="24"/>
          <w:szCs w:val="24"/>
        </w:rPr>
        <w:t xml:space="preserve">Στο πλαίσιο αναμόρφωσης του πλαισίου λειτουργίας της κεφαλαιαγοράς μειώνεται από 1/1/2024 ο </w:t>
      </w:r>
      <w:r w:rsidRPr="000358D9">
        <w:rPr>
          <w:rFonts w:cstheme="minorHAnsi"/>
          <w:b/>
          <w:sz w:val="24"/>
          <w:szCs w:val="24"/>
        </w:rPr>
        <w:t>φόρος συγκέντρωσης κεφαλαίων</w:t>
      </w:r>
      <w:r w:rsidRPr="000358D9">
        <w:rPr>
          <w:rFonts w:cstheme="minorHAnsi"/>
          <w:sz w:val="24"/>
          <w:szCs w:val="24"/>
        </w:rPr>
        <w:t xml:space="preserve"> από 0,5% στο 0,2% με κόστος 22 εκατ. ευρώ ετησίως και μειώνεται κατά 50% ο </w:t>
      </w:r>
      <w:r w:rsidRPr="000358D9">
        <w:rPr>
          <w:rFonts w:cstheme="minorHAnsi"/>
          <w:b/>
          <w:sz w:val="24"/>
          <w:szCs w:val="24"/>
        </w:rPr>
        <w:t xml:space="preserve">φόρος Χρηματιστηριακών συναλλαγών </w:t>
      </w:r>
      <w:r w:rsidRPr="000358D9">
        <w:rPr>
          <w:rFonts w:cstheme="minorHAnsi"/>
          <w:sz w:val="24"/>
          <w:szCs w:val="24"/>
        </w:rPr>
        <w:t xml:space="preserve">με κόστος 21 εκατ. ευρώ ετησίως. </w:t>
      </w:r>
    </w:p>
    <w:p w14:paraId="780AF522" w14:textId="77777777" w:rsidR="003E13DB" w:rsidRPr="000358D9" w:rsidRDefault="003E13DB" w:rsidP="000358D9">
      <w:pPr>
        <w:spacing w:after="0"/>
        <w:jc w:val="both"/>
        <w:rPr>
          <w:rFonts w:cstheme="minorHAnsi"/>
          <w:sz w:val="24"/>
          <w:szCs w:val="24"/>
        </w:rPr>
      </w:pPr>
    </w:p>
    <w:p w14:paraId="0FA12C82" w14:textId="3FFD0E26" w:rsidR="000358D9" w:rsidRPr="000358D9" w:rsidRDefault="000358D9" w:rsidP="000358D9">
      <w:pPr>
        <w:spacing w:after="0"/>
        <w:jc w:val="both"/>
        <w:rPr>
          <w:rFonts w:cstheme="minorHAnsi"/>
          <w:sz w:val="24"/>
          <w:szCs w:val="24"/>
        </w:rPr>
      </w:pPr>
      <w:r w:rsidRPr="000358D9">
        <w:rPr>
          <w:rFonts w:cstheme="minorHAnsi"/>
          <w:sz w:val="24"/>
          <w:szCs w:val="24"/>
        </w:rPr>
        <w:t>12.</w:t>
      </w:r>
      <w:r w:rsidR="003E13DB">
        <w:rPr>
          <w:rFonts w:cstheme="minorHAnsi"/>
          <w:sz w:val="24"/>
          <w:szCs w:val="24"/>
        </w:rPr>
        <w:t xml:space="preserve"> </w:t>
      </w:r>
      <w:r w:rsidRPr="000358D9">
        <w:rPr>
          <w:rFonts w:cstheme="minorHAnsi"/>
          <w:sz w:val="24"/>
          <w:szCs w:val="24"/>
        </w:rPr>
        <w:t xml:space="preserve">Για περίπου 300 πιλότους και πληρώματα πυροσβεστικών αεροσκαφών αυξάνεται το </w:t>
      </w:r>
      <w:r w:rsidRPr="000358D9">
        <w:rPr>
          <w:rFonts w:cstheme="minorHAnsi"/>
          <w:b/>
          <w:sz w:val="24"/>
          <w:szCs w:val="24"/>
        </w:rPr>
        <w:t>πτητικό επίδομα</w:t>
      </w:r>
      <w:r w:rsidRPr="000358D9">
        <w:rPr>
          <w:rFonts w:cstheme="minorHAnsi"/>
          <w:sz w:val="24"/>
          <w:szCs w:val="24"/>
        </w:rPr>
        <w:t xml:space="preserve"> κατά 2.000 ευρώ ετησίως. Κόστος 600 χιλιάδες ευρώ ετησίως. Σημειώνεται ότι από 1/1/2022 το πτητικό επίδομα έγινε αφορολόγητο.</w:t>
      </w:r>
    </w:p>
    <w:p w14:paraId="0389A910" w14:textId="77777777" w:rsidR="003E13DB" w:rsidRDefault="003E13DB" w:rsidP="000358D9">
      <w:pPr>
        <w:spacing w:after="0"/>
        <w:jc w:val="both"/>
        <w:rPr>
          <w:rFonts w:cstheme="minorHAnsi"/>
          <w:sz w:val="24"/>
          <w:szCs w:val="24"/>
        </w:rPr>
      </w:pPr>
    </w:p>
    <w:p w14:paraId="35353B43" w14:textId="32370363" w:rsidR="000358D9" w:rsidRPr="000358D9" w:rsidRDefault="000358D9" w:rsidP="000358D9">
      <w:pPr>
        <w:spacing w:after="0"/>
        <w:jc w:val="both"/>
        <w:rPr>
          <w:rFonts w:cstheme="minorHAnsi"/>
          <w:sz w:val="24"/>
          <w:szCs w:val="24"/>
        </w:rPr>
      </w:pPr>
      <w:r w:rsidRPr="000358D9">
        <w:rPr>
          <w:rFonts w:cstheme="minorHAnsi"/>
          <w:sz w:val="24"/>
          <w:szCs w:val="24"/>
        </w:rPr>
        <w:t>13.</w:t>
      </w:r>
      <w:r w:rsidR="003E13DB">
        <w:rPr>
          <w:rFonts w:cstheme="minorHAnsi"/>
          <w:sz w:val="24"/>
          <w:szCs w:val="24"/>
        </w:rPr>
        <w:t xml:space="preserve"> </w:t>
      </w:r>
      <w:r w:rsidRPr="000358D9">
        <w:rPr>
          <w:rFonts w:cstheme="minorHAnsi"/>
          <w:sz w:val="24"/>
          <w:szCs w:val="24"/>
        </w:rPr>
        <w:t xml:space="preserve">Το </w:t>
      </w:r>
      <w:r w:rsidRPr="000358D9">
        <w:rPr>
          <w:rFonts w:cstheme="minorHAnsi"/>
          <w:b/>
          <w:sz w:val="24"/>
          <w:szCs w:val="24"/>
        </w:rPr>
        <w:t xml:space="preserve">Market </w:t>
      </w:r>
      <w:proofErr w:type="spellStart"/>
      <w:r w:rsidRPr="000358D9">
        <w:rPr>
          <w:rFonts w:cstheme="minorHAnsi"/>
          <w:b/>
          <w:sz w:val="24"/>
          <w:szCs w:val="24"/>
        </w:rPr>
        <w:t>Pass</w:t>
      </w:r>
      <w:proofErr w:type="spellEnd"/>
      <w:r w:rsidRPr="000358D9">
        <w:rPr>
          <w:rFonts w:cstheme="minorHAnsi"/>
          <w:sz w:val="24"/>
          <w:szCs w:val="24"/>
        </w:rPr>
        <w:t xml:space="preserve"> επεκτείνεται έως το τέλος του έτους στη Θεσσαλία και τις υπόλοιπες  πληγείσες περιοχές από τις πλημμύρες αλλά και για τον Έβρο και διπλασιάζεται (από 22 ευρώ το μήνα για μονοπρόσωπο νοικοκυριό που αυξάνεται κατά 10 ευρώ για κάθε επιπλέον μέλος του νοικοκυριού, θα ανέλθει σε 44 ευρώ το μήνα που αυξάνεται κατά 20 ευρώ για κάθε μέλος του νοικοκυριού). Επιλέξιμα είναι τα νοικοκυριά που το λαμβάνουν και σήμερα (με τα ίδια εισοδηματικά κριτήρια) σε ολόκληρη τη Περιφέρεια Θεσσαλίας και Έβρου, καθώς και στις περιοχές που κηρύχτηκαν σε κατάσταση εκτάκτου ανάγκης από τις πλημμύρες σε Βοιωτία και Φθιώτιδα. Ωφελούμενοι είναι περίπου 280.000 νοικοκυριά με 740.000 μέλη και το κόστος για τους μήνες Νοέμβριο και Δεκέμβριο υπολογίζεται σε περίπου 35 εκατ. ευρώ.</w:t>
      </w:r>
    </w:p>
    <w:p w14:paraId="2B478406" w14:textId="77777777" w:rsidR="003E13DB" w:rsidRDefault="003E13DB" w:rsidP="000358D9">
      <w:pPr>
        <w:spacing w:after="0"/>
        <w:jc w:val="both"/>
        <w:rPr>
          <w:rFonts w:cstheme="minorHAnsi"/>
          <w:b/>
          <w:sz w:val="24"/>
          <w:szCs w:val="24"/>
        </w:rPr>
      </w:pPr>
    </w:p>
    <w:p w14:paraId="562F507B" w14:textId="532771D9" w:rsidR="000358D9" w:rsidRPr="000358D9" w:rsidRDefault="000358D9" w:rsidP="000358D9">
      <w:pPr>
        <w:spacing w:after="0"/>
        <w:jc w:val="both"/>
        <w:rPr>
          <w:rFonts w:cstheme="minorHAnsi"/>
          <w:b/>
          <w:sz w:val="24"/>
          <w:szCs w:val="24"/>
        </w:rPr>
      </w:pPr>
      <w:r w:rsidRPr="000358D9">
        <w:rPr>
          <w:rFonts w:cstheme="minorHAnsi"/>
          <w:b/>
          <w:sz w:val="24"/>
          <w:szCs w:val="24"/>
        </w:rPr>
        <w:lastRenderedPageBreak/>
        <w:t>Το συνολικό κόστος των νέων παρεμβάσεων ανέρχεται σε 613 εκατ. ευρώ για το 2024 και σε επιπλέον 411 εκατ. ευρώ για το 2023.</w:t>
      </w:r>
    </w:p>
    <w:p w14:paraId="702F6209" w14:textId="77777777" w:rsidR="000358D9" w:rsidRPr="000358D9" w:rsidRDefault="000358D9" w:rsidP="000358D9">
      <w:pPr>
        <w:spacing w:after="0"/>
        <w:jc w:val="both"/>
        <w:rPr>
          <w:rFonts w:cstheme="minorHAnsi"/>
          <w:sz w:val="24"/>
          <w:szCs w:val="24"/>
        </w:rPr>
      </w:pPr>
    </w:p>
    <w:p w14:paraId="3C1E8163" w14:textId="77777777" w:rsidR="003E13DB" w:rsidRDefault="003E13DB" w:rsidP="000358D9">
      <w:pPr>
        <w:spacing w:after="0"/>
        <w:jc w:val="center"/>
        <w:rPr>
          <w:rFonts w:cstheme="minorHAnsi"/>
          <w:b/>
          <w:sz w:val="24"/>
          <w:szCs w:val="24"/>
        </w:rPr>
      </w:pPr>
    </w:p>
    <w:p w14:paraId="07A6D50C" w14:textId="77777777" w:rsidR="003E13DB" w:rsidRDefault="003E13DB" w:rsidP="000358D9">
      <w:pPr>
        <w:spacing w:after="0"/>
        <w:jc w:val="center"/>
        <w:rPr>
          <w:rFonts w:cstheme="minorHAnsi"/>
          <w:b/>
          <w:sz w:val="24"/>
          <w:szCs w:val="24"/>
        </w:rPr>
      </w:pPr>
    </w:p>
    <w:p w14:paraId="2EFC3E3E" w14:textId="77777777" w:rsidR="003E13DB" w:rsidRDefault="003E13DB" w:rsidP="000358D9">
      <w:pPr>
        <w:spacing w:after="0"/>
        <w:jc w:val="center"/>
        <w:rPr>
          <w:rFonts w:cstheme="minorHAnsi"/>
          <w:b/>
          <w:sz w:val="24"/>
          <w:szCs w:val="24"/>
        </w:rPr>
      </w:pPr>
    </w:p>
    <w:p w14:paraId="198A57E5" w14:textId="77777777" w:rsidR="003E13DB" w:rsidRDefault="003E13DB" w:rsidP="000358D9">
      <w:pPr>
        <w:spacing w:after="0"/>
        <w:jc w:val="center"/>
        <w:rPr>
          <w:rFonts w:cstheme="minorHAnsi"/>
          <w:b/>
          <w:sz w:val="24"/>
          <w:szCs w:val="24"/>
        </w:rPr>
      </w:pPr>
    </w:p>
    <w:p w14:paraId="64D0EDED" w14:textId="1DEC9E87" w:rsidR="000358D9" w:rsidRPr="000358D9" w:rsidRDefault="000358D9" w:rsidP="000358D9">
      <w:pPr>
        <w:spacing w:after="0"/>
        <w:jc w:val="center"/>
        <w:rPr>
          <w:rFonts w:cstheme="minorHAnsi"/>
          <w:b/>
          <w:sz w:val="24"/>
          <w:szCs w:val="24"/>
        </w:rPr>
      </w:pPr>
      <w:r w:rsidRPr="000358D9">
        <w:rPr>
          <w:rFonts w:cstheme="minorHAnsi"/>
          <w:b/>
          <w:sz w:val="24"/>
          <w:szCs w:val="24"/>
        </w:rPr>
        <w:t>Δ. Αντιμετώπιση των επιπτώσεων των φυσικών καταστροφών</w:t>
      </w:r>
    </w:p>
    <w:p w14:paraId="0E72B762" w14:textId="77777777" w:rsidR="003E13DB" w:rsidRDefault="003E13DB" w:rsidP="000358D9">
      <w:pPr>
        <w:spacing w:after="0"/>
        <w:jc w:val="both"/>
        <w:rPr>
          <w:rFonts w:cstheme="minorHAnsi"/>
          <w:sz w:val="24"/>
          <w:szCs w:val="24"/>
        </w:rPr>
      </w:pPr>
    </w:p>
    <w:p w14:paraId="3E448446" w14:textId="6B5A9E2B" w:rsidR="000358D9" w:rsidRPr="000358D9" w:rsidRDefault="000358D9" w:rsidP="000358D9">
      <w:pPr>
        <w:spacing w:after="0"/>
        <w:jc w:val="both"/>
        <w:rPr>
          <w:rFonts w:cstheme="minorHAnsi"/>
          <w:sz w:val="24"/>
          <w:szCs w:val="24"/>
        </w:rPr>
      </w:pPr>
      <w:r w:rsidRPr="000358D9">
        <w:rPr>
          <w:rFonts w:cstheme="minorHAnsi"/>
          <w:sz w:val="24"/>
          <w:szCs w:val="24"/>
        </w:rPr>
        <w:t>Αποζημιώσεις για τις φυσικές καταστροφές και μέτρα θωράκισης της χώρας έναντι των οικονομικών συνεπειών των φυσικών καταστροφών:</w:t>
      </w:r>
    </w:p>
    <w:p w14:paraId="17AAADE3" w14:textId="77777777" w:rsidR="003E13DB" w:rsidRDefault="003E13DB" w:rsidP="000358D9">
      <w:pPr>
        <w:spacing w:after="0"/>
        <w:jc w:val="both"/>
        <w:rPr>
          <w:rFonts w:cstheme="minorHAnsi"/>
          <w:sz w:val="24"/>
          <w:szCs w:val="24"/>
        </w:rPr>
      </w:pPr>
    </w:p>
    <w:p w14:paraId="65934FD6" w14:textId="7AEB88F8" w:rsidR="000358D9" w:rsidRDefault="000358D9" w:rsidP="000358D9">
      <w:pPr>
        <w:spacing w:after="0"/>
        <w:jc w:val="both"/>
        <w:rPr>
          <w:rFonts w:cstheme="minorHAnsi"/>
          <w:sz w:val="24"/>
          <w:szCs w:val="24"/>
        </w:rPr>
      </w:pPr>
      <w:r w:rsidRPr="000358D9">
        <w:rPr>
          <w:rFonts w:cstheme="minorHAnsi"/>
          <w:sz w:val="24"/>
          <w:szCs w:val="24"/>
        </w:rPr>
        <w:t>1.</w:t>
      </w:r>
      <w:r w:rsidR="003E13DB">
        <w:rPr>
          <w:rFonts w:cstheme="minorHAnsi"/>
          <w:sz w:val="24"/>
          <w:szCs w:val="24"/>
        </w:rPr>
        <w:t xml:space="preserve"> </w:t>
      </w:r>
      <w:r w:rsidRPr="000358D9">
        <w:rPr>
          <w:rFonts w:cstheme="minorHAnsi"/>
          <w:sz w:val="24"/>
          <w:szCs w:val="24"/>
        </w:rPr>
        <w:t xml:space="preserve">Κατατίθεται </w:t>
      </w:r>
      <w:r w:rsidRPr="000358D9">
        <w:rPr>
          <w:rFonts w:cstheme="minorHAnsi"/>
          <w:b/>
          <w:sz w:val="24"/>
          <w:szCs w:val="24"/>
        </w:rPr>
        <w:t xml:space="preserve">συμπληρωματικός Προϋπολογισμός </w:t>
      </w:r>
      <w:r w:rsidRPr="000358D9">
        <w:rPr>
          <w:rFonts w:cstheme="minorHAnsi"/>
          <w:sz w:val="24"/>
          <w:szCs w:val="24"/>
        </w:rPr>
        <w:t xml:space="preserve">ύψους 600 εκατ. ευρώ, εκ των οποίων 450 εκατ. ευρώ για το Εθνικό </w:t>
      </w:r>
      <w:proofErr w:type="spellStart"/>
      <w:r w:rsidRPr="000358D9">
        <w:rPr>
          <w:rFonts w:cstheme="minorHAnsi"/>
          <w:sz w:val="24"/>
          <w:szCs w:val="24"/>
        </w:rPr>
        <w:t>ΠΔΕ</w:t>
      </w:r>
      <w:proofErr w:type="spellEnd"/>
      <w:r w:rsidRPr="000358D9">
        <w:rPr>
          <w:rFonts w:cstheme="minorHAnsi"/>
          <w:sz w:val="24"/>
          <w:szCs w:val="24"/>
        </w:rPr>
        <w:t xml:space="preserve"> και 150 εκατ. ευρώ για τον τακτικό Προϋπολογισμό, για να καλύψει τις πρώτες αποζημιώσεις (πρώτη αρωγή και αγροτικές αποζημιώσεις) από τις καταστροφές. Σημειώνεται ότι το συνολικό κόστος των αποζημιώσεων αναμένεται σημαντικά μεγαλύτερο, άνω του 1 δισ. ευρώ, και θα επιβαρύνει και τα επόμενα έτη καθώς θα επισκευάζονται τα κτίρια που υπέστησαν ζημιά και θα αποζημιώνονται από την κρατική αρωγή. </w:t>
      </w:r>
    </w:p>
    <w:p w14:paraId="16C02030" w14:textId="77777777" w:rsidR="003E13DB" w:rsidRPr="000358D9" w:rsidRDefault="003E13DB" w:rsidP="000358D9">
      <w:pPr>
        <w:spacing w:after="0"/>
        <w:jc w:val="both"/>
        <w:rPr>
          <w:rFonts w:cstheme="minorHAnsi"/>
          <w:sz w:val="24"/>
          <w:szCs w:val="24"/>
        </w:rPr>
      </w:pPr>
    </w:p>
    <w:p w14:paraId="5F6ABFD9" w14:textId="5FE53503" w:rsidR="000358D9" w:rsidRPr="000358D9" w:rsidRDefault="000358D9" w:rsidP="000358D9">
      <w:pPr>
        <w:spacing w:after="0"/>
        <w:jc w:val="both"/>
        <w:rPr>
          <w:rFonts w:cstheme="minorHAnsi"/>
          <w:sz w:val="24"/>
          <w:szCs w:val="24"/>
        </w:rPr>
      </w:pPr>
      <w:r w:rsidRPr="000358D9">
        <w:rPr>
          <w:rFonts w:cstheme="minorHAnsi"/>
          <w:sz w:val="24"/>
          <w:szCs w:val="24"/>
        </w:rPr>
        <w:t>2.</w:t>
      </w:r>
      <w:r w:rsidR="003E13DB">
        <w:rPr>
          <w:rFonts w:cstheme="minorHAnsi"/>
          <w:sz w:val="24"/>
          <w:szCs w:val="24"/>
        </w:rPr>
        <w:t xml:space="preserve"> </w:t>
      </w:r>
      <w:r w:rsidRPr="000358D9">
        <w:rPr>
          <w:rFonts w:cstheme="minorHAnsi"/>
          <w:sz w:val="24"/>
          <w:szCs w:val="24"/>
        </w:rPr>
        <w:t xml:space="preserve">Κατόπιν της ευελιξίας που παρέχεται από την Ευρωπαϊκή Επιτροπή, έργα έως </w:t>
      </w:r>
      <w:r w:rsidRPr="000358D9">
        <w:rPr>
          <w:rFonts w:cstheme="minorHAnsi"/>
          <w:b/>
          <w:sz w:val="24"/>
          <w:szCs w:val="24"/>
        </w:rPr>
        <w:t>2,2 δι</w:t>
      </w:r>
      <w:r w:rsidR="003E13DB">
        <w:rPr>
          <w:rFonts w:cstheme="minorHAnsi"/>
          <w:b/>
          <w:sz w:val="24"/>
          <w:szCs w:val="24"/>
        </w:rPr>
        <w:t>σ.</w:t>
      </w:r>
      <w:r w:rsidRPr="000358D9">
        <w:rPr>
          <w:rFonts w:cstheme="minorHAnsi"/>
          <w:sz w:val="24"/>
          <w:szCs w:val="24"/>
        </w:rPr>
        <w:t xml:space="preserve"> εντάσσονται στο </w:t>
      </w:r>
      <w:proofErr w:type="spellStart"/>
      <w:r w:rsidRPr="000358D9">
        <w:rPr>
          <w:rFonts w:cstheme="minorHAnsi"/>
          <w:b/>
          <w:sz w:val="24"/>
          <w:szCs w:val="24"/>
        </w:rPr>
        <w:t>ΕΣΠΑ</w:t>
      </w:r>
      <w:proofErr w:type="spellEnd"/>
      <w:r w:rsidRPr="000358D9">
        <w:rPr>
          <w:rFonts w:cstheme="minorHAnsi"/>
          <w:sz w:val="24"/>
          <w:szCs w:val="24"/>
        </w:rPr>
        <w:t xml:space="preserve"> </w:t>
      </w:r>
      <w:r w:rsidRPr="000358D9">
        <w:rPr>
          <w:rFonts w:cstheme="minorHAnsi"/>
          <w:b/>
          <w:sz w:val="24"/>
          <w:szCs w:val="24"/>
        </w:rPr>
        <w:t>2014-2020</w:t>
      </w:r>
      <w:r w:rsidRPr="000358D9">
        <w:rPr>
          <w:rFonts w:cstheme="minorHAnsi"/>
          <w:sz w:val="24"/>
          <w:szCs w:val="24"/>
        </w:rPr>
        <w:t xml:space="preserve">, το </w:t>
      </w:r>
      <w:proofErr w:type="spellStart"/>
      <w:r w:rsidRPr="000358D9">
        <w:rPr>
          <w:rFonts w:cstheme="minorHAnsi"/>
          <w:b/>
          <w:sz w:val="24"/>
          <w:szCs w:val="24"/>
        </w:rPr>
        <w:t>ΕΣΠΑ</w:t>
      </w:r>
      <w:proofErr w:type="spellEnd"/>
      <w:r w:rsidRPr="000358D9">
        <w:rPr>
          <w:rFonts w:cstheme="minorHAnsi"/>
          <w:b/>
          <w:sz w:val="24"/>
          <w:szCs w:val="24"/>
        </w:rPr>
        <w:t xml:space="preserve"> 2021-2027</w:t>
      </w:r>
      <w:r w:rsidRPr="000358D9">
        <w:rPr>
          <w:rFonts w:cstheme="minorHAnsi"/>
          <w:sz w:val="24"/>
          <w:szCs w:val="24"/>
        </w:rPr>
        <w:t xml:space="preserve"> και στο </w:t>
      </w:r>
      <w:r w:rsidRPr="000358D9">
        <w:rPr>
          <w:rFonts w:cstheme="minorHAnsi"/>
          <w:b/>
          <w:sz w:val="24"/>
          <w:szCs w:val="24"/>
        </w:rPr>
        <w:t>Ταμείο Ανάκαμψης</w:t>
      </w:r>
      <w:r w:rsidRPr="000358D9">
        <w:rPr>
          <w:rFonts w:cstheme="minorHAnsi"/>
          <w:sz w:val="24"/>
          <w:szCs w:val="24"/>
        </w:rPr>
        <w:t>, το οποίο θα αναθεωρηθεί εκ νέου.</w:t>
      </w:r>
    </w:p>
    <w:p w14:paraId="6B5FDE9C" w14:textId="77777777" w:rsidR="003E13DB" w:rsidRDefault="003E13DB" w:rsidP="000358D9">
      <w:pPr>
        <w:spacing w:after="0"/>
        <w:jc w:val="both"/>
        <w:rPr>
          <w:rFonts w:cstheme="minorHAnsi"/>
          <w:sz w:val="24"/>
          <w:szCs w:val="24"/>
        </w:rPr>
      </w:pPr>
    </w:p>
    <w:p w14:paraId="1D4ED262" w14:textId="37E871BB" w:rsidR="000358D9" w:rsidRPr="000358D9" w:rsidRDefault="000358D9" w:rsidP="000358D9">
      <w:pPr>
        <w:spacing w:after="0"/>
        <w:jc w:val="both"/>
        <w:rPr>
          <w:rFonts w:cstheme="minorHAnsi"/>
          <w:sz w:val="24"/>
          <w:szCs w:val="24"/>
        </w:rPr>
      </w:pPr>
      <w:r w:rsidRPr="000358D9">
        <w:rPr>
          <w:rFonts w:cstheme="minorHAnsi"/>
          <w:sz w:val="24"/>
          <w:szCs w:val="24"/>
        </w:rPr>
        <w:t>3.</w:t>
      </w:r>
      <w:r w:rsidR="003E13DB">
        <w:rPr>
          <w:rFonts w:cstheme="minorHAnsi"/>
          <w:sz w:val="24"/>
          <w:szCs w:val="24"/>
        </w:rPr>
        <w:t xml:space="preserve"> </w:t>
      </w:r>
      <w:r w:rsidRPr="000358D9">
        <w:rPr>
          <w:rFonts w:cstheme="minorHAnsi"/>
          <w:sz w:val="24"/>
          <w:szCs w:val="24"/>
        </w:rPr>
        <w:t xml:space="preserve">Δημιουργείται από 1/1/2024 ξεχωριστός λογαριασμός στο </w:t>
      </w:r>
      <w:r w:rsidRPr="000358D9">
        <w:rPr>
          <w:rFonts w:cstheme="minorHAnsi"/>
          <w:b/>
          <w:sz w:val="24"/>
          <w:szCs w:val="24"/>
        </w:rPr>
        <w:t>Εθνικό Πρόγραμμα Δημοσίων Επενδύσεων</w:t>
      </w:r>
      <w:r w:rsidRPr="000358D9">
        <w:rPr>
          <w:rFonts w:cstheme="minorHAnsi"/>
          <w:sz w:val="24"/>
          <w:szCs w:val="24"/>
        </w:rPr>
        <w:t xml:space="preserve"> που θα καλύπτει σε μόνιμη βάση τις δαπάνες κρατικής αρωγής έναντι φυσικών καταστροφών. Αυξάνεται το ύψος των διαθέσιμων κονδυλίων για αυτόν τον λογαριασμό από 300 εκατ. ετησίως που σήμερα βρίσκονται στο Πρόγραμμα Κρατικής Αρωγής, σε 600 εκατ. ευρώ ετησίως (αύξηση κατά 300 εκατ. ευρώ), για να καλύψει τόσο τις υπόλοιπες αποζημιώσεις της τρέχουσας καταστροφής αλλά και για να καλύπτει μελλοντικές καταστροφές τα επόμενα έτη.</w:t>
      </w:r>
    </w:p>
    <w:p w14:paraId="7B6C7B31" w14:textId="77777777" w:rsidR="003E13DB" w:rsidRDefault="003E13DB" w:rsidP="000358D9">
      <w:pPr>
        <w:spacing w:after="0"/>
        <w:jc w:val="both"/>
        <w:rPr>
          <w:rFonts w:cstheme="minorHAnsi"/>
          <w:sz w:val="24"/>
          <w:szCs w:val="24"/>
        </w:rPr>
      </w:pPr>
    </w:p>
    <w:p w14:paraId="73E9B850" w14:textId="4DD17E30" w:rsidR="000358D9" w:rsidRDefault="000358D9" w:rsidP="000358D9">
      <w:pPr>
        <w:spacing w:after="0"/>
        <w:jc w:val="both"/>
        <w:rPr>
          <w:rFonts w:cstheme="minorHAnsi"/>
          <w:sz w:val="24"/>
          <w:szCs w:val="24"/>
        </w:rPr>
      </w:pPr>
      <w:r w:rsidRPr="000358D9">
        <w:rPr>
          <w:rFonts w:cstheme="minorHAnsi"/>
          <w:sz w:val="24"/>
          <w:szCs w:val="24"/>
        </w:rPr>
        <w:t>4.</w:t>
      </w:r>
      <w:r w:rsidR="003E13DB">
        <w:rPr>
          <w:rFonts w:cstheme="minorHAnsi"/>
          <w:sz w:val="24"/>
          <w:szCs w:val="24"/>
        </w:rPr>
        <w:t xml:space="preserve"> </w:t>
      </w:r>
      <w:r w:rsidRPr="000358D9">
        <w:rPr>
          <w:rFonts w:cstheme="minorHAnsi"/>
          <w:sz w:val="24"/>
          <w:szCs w:val="24"/>
        </w:rPr>
        <w:t xml:space="preserve">Για να καλυφθεί σε μόνιμη βάση το ετήσιο κόστος των φυσικών καταστροφών, επιβάλλεται </w:t>
      </w:r>
      <w:r w:rsidRPr="000358D9">
        <w:rPr>
          <w:rFonts w:cstheme="minorHAnsi"/>
          <w:b/>
          <w:sz w:val="24"/>
          <w:szCs w:val="24"/>
        </w:rPr>
        <w:t xml:space="preserve">τέλος αντιμετώπισης των συνεπειών της κλιματικής αλλαγής </w:t>
      </w:r>
      <w:r w:rsidRPr="000358D9">
        <w:rPr>
          <w:rFonts w:cstheme="minorHAnsi"/>
          <w:sz w:val="24"/>
          <w:szCs w:val="24"/>
        </w:rPr>
        <w:t xml:space="preserve">στα τουριστικά καταλύματα, και πλέον </w:t>
      </w:r>
      <w:r w:rsidR="00CC7B92">
        <w:rPr>
          <w:rFonts w:cstheme="minorHAnsi"/>
          <w:sz w:val="24"/>
          <w:szCs w:val="24"/>
        </w:rPr>
        <w:t xml:space="preserve">στη </w:t>
      </w:r>
      <w:r w:rsidRPr="000358D9">
        <w:rPr>
          <w:rFonts w:cstheme="minorHAnsi"/>
          <w:sz w:val="24"/>
          <w:szCs w:val="24"/>
        </w:rPr>
        <w:t>βραχυχρόνια μίσθωση</w:t>
      </w:r>
      <w:r w:rsidR="00CC7B92">
        <w:rPr>
          <w:rFonts w:cstheme="minorHAnsi"/>
          <w:sz w:val="24"/>
          <w:szCs w:val="24"/>
        </w:rPr>
        <w:t>, το οποίο αντικαθιστά το φόρο διαμονής</w:t>
      </w:r>
      <w:r w:rsidRPr="000358D9">
        <w:rPr>
          <w:rFonts w:cstheme="minorHAnsi"/>
          <w:sz w:val="24"/>
          <w:szCs w:val="24"/>
        </w:rPr>
        <w:t>. Το όφελος από αυτό το τέλος υπολογίζεται σε 240 εκατ. ετησίως και χρησιμοποιείται για την ανωτέρω μόνιμη αύξηση του λογαριασμού που καλύπτει το κόστος αποκατάστασης από τις φυσικές καταστροφές.</w:t>
      </w:r>
    </w:p>
    <w:p w14:paraId="2E7DB52F" w14:textId="77777777" w:rsidR="003E13DB" w:rsidRPr="000358D9" w:rsidRDefault="003E13DB" w:rsidP="000358D9">
      <w:pPr>
        <w:spacing w:after="0"/>
        <w:jc w:val="both"/>
        <w:rPr>
          <w:rFonts w:cstheme="minorHAnsi"/>
          <w:sz w:val="24"/>
          <w:szCs w:val="24"/>
        </w:rPr>
      </w:pPr>
    </w:p>
    <w:p w14:paraId="6850D689" w14:textId="3F0BD9E3" w:rsidR="000358D9" w:rsidRPr="000358D9" w:rsidRDefault="000358D9" w:rsidP="000358D9">
      <w:pPr>
        <w:spacing w:after="0"/>
        <w:jc w:val="both"/>
        <w:rPr>
          <w:rFonts w:cstheme="minorHAnsi"/>
          <w:sz w:val="24"/>
          <w:szCs w:val="24"/>
        </w:rPr>
      </w:pPr>
      <w:r w:rsidRPr="000358D9">
        <w:rPr>
          <w:rFonts w:cstheme="minorHAnsi"/>
          <w:sz w:val="24"/>
          <w:szCs w:val="24"/>
        </w:rPr>
        <w:t>5.</w:t>
      </w:r>
      <w:r w:rsidR="003E13DB">
        <w:rPr>
          <w:rFonts w:cstheme="minorHAnsi"/>
          <w:sz w:val="24"/>
          <w:szCs w:val="24"/>
        </w:rPr>
        <w:t xml:space="preserve"> </w:t>
      </w:r>
      <w:r w:rsidRPr="000358D9">
        <w:rPr>
          <w:rFonts w:cstheme="minorHAnsi"/>
          <w:sz w:val="24"/>
          <w:szCs w:val="24"/>
        </w:rPr>
        <w:t xml:space="preserve">Από το 2024 καθίσταται υποχρεωτική η </w:t>
      </w:r>
      <w:r w:rsidRPr="000358D9">
        <w:rPr>
          <w:rFonts w:cstheme="minorHAnsi"/>
          <w:b/>
          <w:sz w:val="24"/>
          <w:szCs w:val="24"/>
        </w:rPr>
        <w:t>ιδιωτική ασφάλιση</w:t>
      </w:r>
      <w:r w:rsidRPr="000358D9">
        <w:rPr>
          <w:rFonts w:cstheme="minorHAnsi"/>
          <w:sz w:val="24"/>
          <w:szCs w:val="24"/>
        </w:rPr>
        <w:t xml:space="preserve"> σε μεσαίες και μεγάλες επιχειρήσεις με ετήσιο κύκλο εργασιών άνω των 2 εκατ. ευρώ. Η ασφάλιση θα πρέπει να καλύπτει πλημμύρα, σεισμό και πυρκαγιά και να αφορά το κτίριο, τα μηχανήματα, τον εξοπλισμό και τα αποθέματα. Από 1/1/2024 οι ανωτέρω  επιχειρήσεις δεν θα αποζημιώνονται από την κρατική αρωγή.</w:t>
      </w:r>
    </w:p>
    <w:p w14:paraId="176A3F71" w14:textId="77777777" w:rsidR="003E13DB" w:rsidRDefault="003E13DB" w:rsidP="000358D9">
      <w:pPr>
        <w:spacing w:after="0"/>
        <w:jc w:val="both"/>
        <w:rPr>
          <w:rFonts w:cstheme="minorHAnsi"/>
          <w:sz w:val="24"/>
          <w:szCs w:val="24"/>
        </w:rPr>
      </w:pPr>
    </w:p>
    <w:p w14:paraId="0043412E" w14:textId="2F18DB21" w:rsidR="000358D9" w:rsidRPr="000358D9" w:rsidRDefault="000358D9" w:rsidP="000358D9">
      <w:pPr>
        <w:spacing w:after="0"/>
        <w:jc w:val="both"/>
        <w:rPr>
          <w:rFonts w:cstheme="minorHAnsi"/>
          <w:sz w:val="24"/>
          <w:szCs w:val="24"/>
        </w:rPr>
      </w:pPr>
      <w:r w:rsidRPr="000358D9">
        <w:rPr>
          <w:rFonts w:cstheme="minorHAnsi"/>
          <w:sz w:val="24"/>
          <w:szCs w:val="24"/>
        </w:rPr>
        <w:t>6.</w:t>
      </w:r>
      <w:r w:rsidR="003E13DB">
        <w:rPr>
          <w:rFonts w:cstheme="minorHAnsi"/>
          <w:sz w:val="24"/>
          <w:szCs w:val="24"/>
        </w:rPr>
        <w:t xml:space="preserve"> </w:t>
      </w:r>
      <w:r w:rsidRPr="000358D9">
        <w:rPr>
          <w:rFonts w:cstheme="minorHAnsi"/>
          <w:sz w:val="24"/>
          <w:szCs w:val="24"/>
        </w:rPr>
        <w:t xml:space="preserve">Υπενθυμίζουμε τέλος, ότι κινητοποιείται η ιδιωτική πρωτοβουλία για την ενίσχυση των πληγέντων μέσω του ειδικού λογαριασμού Κρατικής Αρωγής </w:t>
      </w:r>
      <w:proofErr w:type="spellStart"/>
      <w:r w:rsidRPr="000358D9">
        <w:rPr>
          <w:rFonts w:cstheme="minorHAnsi"/>
          <w:sz w:val="24"/>
          <w:szCs w:val="24"/>
        </w:rPr>
        <w:t>GR</w:t>
      </w:r>
      <w:proofErr w:type="spellEnd"/>
      <w:r w:rsidRPr="000358D9">
        <w:rPr>
          <w:rFonts w:cstheme="minorHAnsi"/>
          <w:sz w:val="24"/>
          <w:szCs w:val="24"/>
        </w:rPr>
        <w:t xml:space="preserve"> 9501000230000002341227461.</w:t>
      </w:r>
    </w:p>
    <w:p w14:paraId="5531C661" w14:textId="77777777" w:rsidR="000358D9" w:rsidRPr="000358D9" w:rsidRDefault="000358D9" w:rsidP="000358D9">
      <w:pPr>
        <w:spacing w:after="0"/>
        <w:jc w:val="both"/>
        <w:rPr>
          <w:rFonts w:cstheme="minorHAnsi"/>
          <w:sz w:val="24"/>
          <w:szCs w:val="24"/>
        </w:rPr>
      </w:pPr>
    </w:p>
    <w:p w14:paraId="5739C39B" w14:textId="77777777" w:rsidR="000358D9" w:rsidRPr="000358D9" w:rsidRDefault="000358D9" w:rsidP="000358D9">
      <w:pPr>
        <w:spacing w:after="0"/>
        <w:jc w:val="both"/>
        <w:rPr>
          <w:rFonts w:cstheme="minorHAnsi"/>
          <w:sz w:val="24"/>
          <w:szCs w:val="24"/>
        </w:rPr>
      </w:pPr>
    </w:p>
    <w:p w14:paraId="61398679" w14:textId="77777777" w:rsidR="000358D9" w:rsidRPr="000358D9" w:rsidRDefault="000358D9" w:rsidP="000358D9">
      <w:pPr>
        <w:spacing w:after="0"/>
        <w:jc w:val="both"/>
        <w:rPr>
          <w:rFonts w:cstheme="minorHAnsi"/>
          <w:sz w:val="24"/>
          <w:szCs w:val="24"/>
        </w:rPr>
      </w:pPr>
    </w:p>
    <w:p w14:paraId="49220326" w14:textId="4A820A20" w:rsidR="005779C6" w:rsidRPr="000358D9" w:rsidRDefault="00410E74" w:rsidP="000358D9">
      <w:pPr>
        <w:spacing w:after="0"/>
        <w:jc w:val="right"/>
        <w:rPr>
          <w:rFonts w:cstheme="minorHAnsi"/>
          <w:b/>
          <w:bCs/>
          <w:sz w:val="24"/>
          <w:szCs w:val="24"/>
        </w:rPr>
      </w:pPr>
      <w:r w:rsidRPr="000358D9">
        <w:rPr>
          <w:rFonts w:cstheme="minorHAnsi"/>
          <w:b/>
          <w:bCs/>
          <w:sz w:val="24"/>
          <w:szCs w:val="24"/>
        </w:rPr>
        <w:t>ΑΠΟ ΤΟ ΓΡΑΦΕΙΟ ΤΥΠΟΥ</w:t>
      </w:r>
      <w:r w:rsidR="00562F97" w:rsidRPr="000358D9">
        <w:rPr>
          <w:rFonts w:cstheme="minorHAnsi"/>
          <w:b/>
          <w:bCs/>
          <w:sz w:val="24"/>
          <w:szCs w:val="24"/>
        </w:rPr>
        <w:t xml:space="preserve"> </w:t>
      </w:r>
    </w:p>
    <w:sectPr w:rsidR="005779C6" w:rsidRPr="000358D9"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3FBD0" w14:textId="77777777" w:rsidR="00935675" w:rsidRDefault="00935675" w:rsidP="00903640">
      <w:pPr>
        <w:spacing w:after="0" w:line="240" w:lineRule="auto"/>
      </w:pPr>
      <w:r>
        <w:separator/>
      </w:r>
    </w:p>
  </w:endnote>
  <w:endnote w:type="continuationSeparator" w:id="0">
    <w:p w14:paraId="0AA7EC44" w14:textId="77777777" w:rsidR="00935675" w:rsidRDefault="00935675"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9DC2A" w14:textId="77777777" w:rsidR="00935675" w:rsidRDefault="00935675" w:rsidP="00903640">
      <w:pPr>
        <w:spacing w:after="0" w:line="240" w:lineRule="auto"/>
      </w:pPr>
      <w:r>
        <w:separator/>
      </w:r>
    </w:p>
  </w:footnote>
  <w:footnote w:type="continuationSeparator" w:id="0">
    <w:p w14:paraId="5DE2793E" w14:textId="77777777" w:rsidR="00935675" w:rsidRDefault="00935675"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DA3A"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BD7F" w14:textId="2984F2D7"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6C64DD26" wp14:editId="753EFF76">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4BC1BA" w14:textId="040AB316" w:rsidR="00524F85" w:rsidRDefault="00524F85" w:rsidP="009821BA">
    <w:pPr>
      <w:pStyle w:val="a3"/>
      <w:tabs>
        <w:tab w:val="clear" w:pos="8306"/>
      </w:tabs>
      <w:ind w:left="-426" w:right="-1700" w:firstLine="1"/>
    </w:pPr>
  </w:p>
  <w:p w14:paraId="13CE0663"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109E8"/>
    <w:multiLevelType w:val="hybridMultilevel"/>
    <w:tmpl w:val="6DE0C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22E2B"/>
    <w:multiLevelType w:val="hybridMultilevel"/>
    <w:tmpl w:val="FD1A8BA2"/>
    <w:lvl w:ilvl="0" w:tplc="04A6CB0A">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B8069D"/>
    <w:multiLevelType w:val="hybridMultilevel"/>
    <w:tmpl w:val="4D703C7E"/>
    <w:numStyleLink w:val="ImportedStyle3"/>
  </w:abstractNum>
  <w:abstractNum w:abstractNumId="7"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2471C7"/>
    <w:multiLevelType w:val="hybridMultilevel"/>
    <w:tmpl w:val="F1A619A4"/>
    <w:lvl w:ilvl="0" w:tplc="398E7F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EE5F9D"/>
    <w:multiLevelType w:val="hybridMultilevel"/>
    <w:tmpl w:val="D5C21B36"/>
    <w:lvl w:ilvl="0" w:tplc="7BDE5B9C">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3C01A9"/>
    <w:multiLevelType w:val="hybridMultilevel"/>
    <w:tmpl w:val="E16A2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2A156A"/>
    <w:multiLevelType w:val="hybridMultilevel"/>
    <w:tmpl w:val="E732FF0C"/>
    <w:lvl w:ilvl="0" w:tplc="04080001">
      <w:start w:val="1"/>
      <w:numFmt w:val="bullet"/>
      <w:lvlText w:val=""/>
      <w:lvlJc w:val="left"/>
      <w:pPr>
        <w:ind w:left="804" w:hanging="360"/>
      </w:pPr>
      <w:rPr>
        <w:rFonts w:ascii="Symbol" w:hAnsi="Symbol" w:hint="default"/>
      </w:rPr>
    </w:lvl>
    <w:lvl w:ilvl="1" w:tplc="04080003" w:tentative="1">
      <w:start w:val="1"/>
      <w:numFmt w:val="bullet"/>
      <w:lvlText w:val="o"/>
      <w:lvlJc w:val="left"/>
      <w:pPr>
        <w:ind w:left="1524" w:hanging="360"/>
      </w:pPr>
      <w:rPr>
        <w:rFonts w:ascii="Courier New" w:hAnsi="Courier New" w:cs="Courier New" w:hint="default"/>
      </w:rPr>
    </w:lvl>
    <w:lvl w:ilvl="2" w:tplc="04080005" w:tentative="1">
      <w:start w:val="1"/>
      <w:numFmt w:val="bullet"/>
      <w:lvlText w:val=""/>
      <w:lvlJc w:val="left"/>
      <w:pPr>
        <w:ind w:left="2244" w:hanging="360"/>
      </w:pPr>
      <w:rPr>
        <w:rFonts w:ascii="Wingdings" w:hAnsi="Wingdings" w:hint="default"/>
      </w:rPr>
    </w:lvl>
    <w:lvl w:ilvl="3" w:tplc="04080001" w:tentative="1">
      <w:start w:val="1"/>
      <w:numFmt w:val="bullet"/>
      <w:lvlText w:val=""/>
      <w:lvlJc w:val="left"/>
      <w:pPr>
        <w:ind w:left="2964" w:hanging="360"/>
      </w:pPr>
      <w:rPr>
        <w:rFonts w:ascii="Symbol" w:hAnsi="Symbol" w:hint="default"/>
      </w:rPr>
    </w:lvl>
    <w:lvl w:ilvl="4" w:tplc="04080003" w:tentative="1">
      <w:start w:val="1"/>
      <w:numFmt w:val="bullet"/>
      <w:lvlText w:val="o"/>
      <w:lvlJc w:val="left"/>
      <w:pPr>
        <w:ind w:left="3684" w:hanging="360"/>
      </w:pPr>
      <w:rPr>
        <w:rFonts w:ascii="Courier New" w:hAnsi="Courier New" w:cs="Courier New" w:hint="default"/>
      </w:rPr>
    </w:lvl>
    <w:lvl w:ilvl="5" w:tplc="04080005" w:tentative="1">
      <w:start w:val="1"/>
      <w:numFmt w:val="bullet"/>
      <w:lvlText w:val=""/>
      <w:lvlJc w:val="left"/>
      <w:pPr>
        <w:ind w:left="4404" w:hanging="360"/>
      </w:pPr>
      <w:rPr>
        <w:rFonts w:ascii="Wingdings" w:hAnsi="Wingdings" w:hint="default"/>
      </w:rPr>
    </w:lvl>
    <w:lvl w:ilvl="6" w:tplc="04080001" w:tentative="1">
      <w:start w:val="1"/>
      <w:numFmt w:val="bullet"/>
      <w:lvlText w:val=""/>
      <w:lvlJc w:val="left"/>
      <w:pPr>
        <w:ind w:left="5124" w:hanging="360"/>
      </w:pPr>
      <w:rPr>
        <w:rFonts w:ascii="Symbol" w:hAnsi="Symbol" w:hint="default"/>
      </w:rPr>
    </w:lvl>
    <w:lvl w:ilvl="7" w:tplc="04080003" w:tentative="1">
      <w:start w:val="1"/>
      <w:numFmt w:val="bullet"/>
      <w:lvlText w:val="o"/>
      <w:lvlJc w:val="left"/>
      <w:pPr>
        <w:ind w:left="5844" w:hanging="360"/>
      </w:pPr>
      <w:rPr>
        <w:rFonts w:ascii="Courier New" w:hAnsi="Courier New" w:cs="Courier New" w:hint="default"/>
      </w:rPr>
    </w:lvl>
    <w:lvl w:ilvl="8" w:tplc="04080005" w:tentative="1">
      <w:start w:val="1"/>
      <w:numFmt w:val="bullet"/>
      <w:lvlText w:val=""/>
      <w:lvlJc w:val="left"/>
      <w:pPr>
        <w:ind w:left="6564" w:hanging="360"/>
      </w:pPr>
      <w:rPr>
        <w:rFonts w:ascii="Wingdings" w:hAnsi="Wingdings" w:hint="default"/>
      </w:rPr>
    </w:lvl>
  </w:abstractNum>
  <w:abstractNum w:abstractNumId="18" w15:restartNumberingAfterBreak="0">
    <w:nsid w:val="3780681A"/>
    <w:multiLevelType w:val="hybridMultilevel"/>
    <w:tmpl w:val="D2BC0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35C721B"/>
    <w:multiLevelType w:val="hybridMultilevel"/>
    <w:tmpl w:val="D53CFFEE"/>
    <w:numStyleLink w:val="ImportedStyle5"/>
  </w:abstractNum>
  <w:abstractNum w:abstractNumId="22"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F64324"/>
    <w:multiLevelType w:val="hybridMultilevel"/>
    <w:tmpl w:val="8C620154"/>
    <w:numStyleLink w:val="ImportedStyle2"/>
  </w:abstractNum>
  <w:abstractNum w:abstractNumId="25"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28095A"/>
    <w:multiLevelType w:val="hybridMultilevel"/>
    <w:tmpl w:val="A822A2CE"/>
    <w:numStyleLink w:val="ImportedStyle4"/>
  </w:abstractNum>
  <w:abstractNum w:abstractNumId="27"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5A1B8C"/>
    <w:multiLevelType w:val="hybridMultilevel"/>
    <w:tmpl w:val="E26A7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A56EF3"/>
    <w:multiLevelType w:val="hybridMultilevel"/>
    <w:tmpl w:val="4F4A5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82500AB"/>
    <w:multiLevelType w:val="hybridMultilevel"/>
    <w:tmpl w:val="98BE4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7"/>
  </w:num>
  <w:num w:numId="4">
    <w:abstractNumId w:val="34"/>
  </w:num>
  <w:num w:numId="5">
    <w:abstractNumId w:val="36"/>
  </w:num>
  <w:num w:numId="6">
    <w:abstractNumId w:val="32"/>
  </w:num>
  <w:num w:numId="7">
    <w:abstractNumId w:val="22"/>
  </w:num>
  <w:num w:numId="8">
    <w:abstractNumId w:val="1"/>
  </w:num>
  <w:num w:numId="9">
    <w:abstractNumId w:val="16"/>
  </w:num>
  <w:num w:numId="10">
    <w:abstractNumId w:val="14"/>
  </w:num>
  <w:num w:numId="11">
    <w:abstractNumId w:val="12"/>
  </w:num>
  <w:num w:numId="12">
    <w:abstractNumId w:val="0"/>
  </w:num>
  <w:num w:numId="13">
    <w:abstractNumId w:val="10"/>
  </w:num>
  <w:num w:numId="14">
    <w:abstractNumId w:val="24"/>
  </w:num>
  <w:num w:numId="15">
    <w:abstractNumId w:val="35"/>
  </w:num>
  <w:num w:numId="16">
    <w:abstractNumId w:val="6"/>
  </w:num>
  <w:num w:numId="17">
    <w:abstractNumId w:val="24"/>
    <w:lvlOverride w:ilvl="0">
      <w:startOverride w:val="3"/>
    </w:lvlOverride>
  </w:num>
  <w:num w:numId="18">
    <w:abstractNumId w:val="0"/>
    <w:lvlOverride w:ilvl="0">
      <w:lvl w:ilvl="0" w:tplc="51A44F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908EF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A8EAB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76496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80891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1C715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FC44C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B2DF0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EECF9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4"/>
    <w:lvlOverride w:ilvl="0">
      <w:startOverride w:val="4"/>
    </w:lvlOverride>
  </w:num>
  <w:num w:numId="20">
    <w:abstractNumId w:val="28"/>
  </w:num>
  <w:num w:numId="21">
    <w:abstractNumId w:val="26"/>
  </w:num>
  <w:num w:numId="22">
    <w:abstractNumId w:val="24"/>
    <w:lvlOverride w:ilvl="0">
      <w:startOverride w:val="6"/>
    </w:lvlOverride>
  </w:num>
  <w:num w:numId="23">
    <w:abstractNumId w:val="25"/>
  </w:num>
  <w:num w:numId="24">
    <w:abstractNumId w:val="21"/>
  </w:num>
  <w:num w:numId="25">
    <w:abstractNumId w:val="20"/>
  </w:num>
  <w:num w:numId="26">
    <w:abstractNumId w:val="5"/>
  </w:num>
  <w:num w:numId="27">
    <w:abstractNumId w:val="19"/>
  </w:num>
  <w:num w:numId="28">
    <w:abstractNumId w:val="15"/>
  </w:num>
  <w:num w:numId="29">
    <w:abstractNumId w:val="23"/>
  </w:num>
  <w:num w:numId="30">
    <w:abstractNumId w:val="27"/>
  </w:num>
  <w:num w:numId="31">
    <w:abstractNumId w:val="9"/>
  </w:num>
  <w:num w:numId="32">
    <w:abstractNumId w:val="33"/>
  </w:num>
  <w:num w:numId="33">
    <w:abstractNumId w:val="8"/>
  </w:num>
  <w:num w:numId="34">
    <w:abstractNumId w:val="13"/>
  </w:num>
  <w:num w:numId="35">
    <w:abstractNumId w:val="11"/>
  </w:num>
  <w:num w:numId="36">
    <w:abstractNumId w:val="18"/>
  </w:num>
  <w:num w:numId="37">
    <w:abstractNumId w:val="17"/>
  </w:num>
  <w:num w:numId="38">
    <w:abstractNumId w:val="30"/>
  </w:num>
  <w:num w:numId="39">
    <w:abstractNumId w:val="2"/>
  </w:num>
  <w:num w:numId="40">
    <w:abstractNumId w:val="2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077AA"/>
    <w:rsid w:val="000101FF"/>
    <w:rsid w:val="000113C7"/>
    <w:rsid w:val="00015162"/>
    <w:rsid w:val="000163E3"/>
    <w:rsid w:val="000264A7"/>
    <w:rsid w:val="000277D9"/>
    <w:rsid w:val="00031C70"/>
    <w:rsid w:val="000357B9"/>
    <w:rsid w:val="000358D9"/>
    <w:rsid w:val="00045394"/>
    <w:rsid w:val="000512CF"/>
    <w:rsid w:val="000533C9"/>
    <w:rsid w:val="00057439"/>
    <w:rsid w:val="00061719"/>
    <w:rsid w:val="0006291F"/>
    <w:rsid w:val="00065D43"/>
    <w:rsid w:val="00071320"/>
    <w:rsid w:val="0007749E"/>
    <w:rsid w:val="00080E3B"/>
    <w:rsid w:val="000839B1"/>
    <w:rsid w:val="00086EA7"/>
    <w:rsid w:val="000909AF"/>
    <w:rsid w:val="00093AF8"/>
    <w:rsid w:val="00094390"/>
    <w:rsid w:val="00094AF5"/>
    <w:rsid w:val="000A0B60"/>
    <w:rsid w:val="000A485B"/>
    <w:rsid w:val="000B0961"/>
    <w:rsid w:val="000B21ED"/>
    <w:rsid w:val="000B2A4D"/>
    <w:rsid w:val="000C1986"/>
    <w:rsid w:val="000C2F6B"/>
    <w:rsid w:val="000C3FBE"/>
    <w:rsid w:val="000D41B8"/>
    <w:rsid w:val="000E7BBE"/>
    <w:rsid w:val="000E7C75"/>
    <w:rsid w:val="000E7F0B"/>
    <w:rsid w:val="000F35C8"/>
    <w:rsid w:val="000F39A5"/>
    <w:rsid w:val="000F4B4B"/>
    <w:rsid w:val="000F5380"/>
    <w:rsid w:val="0010559B"/>
    <w:rsid w:val="001065A0"/>
    <w:rsid w:val="0011558F"/>
    <w:rsid w:val="00122151"/>
    <w:rsid w:val="0012335C"/>
    <w:rsid w:val="00124EFC"/>
    <w:rsid w:val="00127C68"/>
    <w:rsid w:val="0013071D"/>
    <w:rsid w:val="001311A1"/>
    <w:rsid w:val="001439A2"/>
    <w:rsid w:val="00143DF8"/>
    <w:rsid w:val="00146D35"/>
    <w:rsid w:val="0015333C"/>
    <w:rsid w:val="00154711"/>
    <w:rsid w:val="00154988"/>
    <w:rsid w:val="00157FD9"/>
    <w:rsid w:val="00163109"/>
    <w:rsid w:val="00165AEC"/>
    <w:rsid w:val="00167CAA"/>
    <w:rsid w:val="00171B5B"/>
    <w:rsid w:val="001726CD"/>
    <w:rsid w:val="00173A9B"/>
    <w:rsid w:val="00173D5F"/>
    <w:rsid w:val="0017447C"/>
    <w:rsid w:val="001817D4"/>
    <w:rsid w:val="001841CE"/>
    <w:rsid w:val="00186768"/>
    <w:rsid w:val="00195A1C"/>
    <w:rsid w:val="001A0FB7"/>
    <w:rsid w:val="001A3539"/>
    <w:rsid w:val="001A536F"/>
    <w:rsid w:val="001A58FA"/>
    <w:rsid w:val="001B2D03"/>
    <w:rsid w:val="001B55E6"/>
    <w:rsid w:val="001B67B9"/>
    <w:rsid w:val="001B6FE7"/>
    <w:rsid w:val="001C0047"/>
    <w:rsid w:val="001C36FC"/>
    <w:rsid w:val="001C3DA3"/>
    <w:rsid w:val="001C7F06"/>
    <w:rsid w:val="001D1CF9"/>
    <w:rsid w:val="001D4A57"/>
    <w:rsid w:val="001E21DC"/>
    <w:rsid w:val="001E75BD"/>
    <w:rsid w:val="001E7A4B"/>
    <w:rsid w:val="001F269B"/>
    <w:rsid w:val="001F4C65"/>
    <w:rsid w:val="001F4F4A"/>
    <w:rsid w:val="001F60E1"/>
    <w:rsid w:val="001F73B8"/>
    <w:rsid w:val="00200666"/>
    <w:rsid w:val="00201A9B"/>
    <w:rsid w:val="0021241B"/>
    <w:rsid w:val="00212628"/>
    <w:rsid w:val="002140F8"/>
    <w:rsid w:val="002151BC"/>
    <w:rsid w:val="0022452A"/>
    <w:rsid w:val="002245F3"/>
    <w:rsid w:val="00225D9B"/>
    <w:rsid w:val="00227E2B"/>
    <w:rsid w:val="00250CB8"/>
    <w:rsid w:val="002519E2"/>
    <w:rsid w:val="00252C5C"/>
    <w:rsid w:val="00255BED"/>
    <w:rsid w:val="0025768A"/>
    <w:rsid w:val="002619C4"/>
    <w:rsid w:val="002642A0"/>
    <w:rsid w:val="0026466F"/>
    <w:rsid w:val="0026513E"/>
    <w:rsid w:val="0026550D"/>
    <w:rsid w:val="00265F29"/>
    <w:rsid w:val="00276158"/>
    <w:rsid w:val="00277D76"/>
    <w:rsid w:val="00283222"/>
    <w:rsid w:val="002868EB"/>
    <w:rsid w:val="00291DC9"/>
    <w:rsid w:val="00293612"/>
    <w:rsid w:val="00294694"/>
    <w:rsid w:val="0029544D"/>
    <w:rsid w:val="00296258"/>
    <w:rsid w:val="002A012A"/>
    <w:rsid w:val="002A01A6"/>
    <w:rsid w:val="002A081C"/>
    <w:rsid w:val="002A4CBF"/>
    <w:rsid w:val="002A564F"/>
    <w:rsid w:val="002B1C99"/>
    <w:rsid w:val="002B6742"/>
    <w:rsid w:val="002C1EAD"/>
    <w:rsid w:val="002C1EE4"/>
    <w:rsid w:val="002D4607"/>
    <w:rsid w:val="002E3D02"/>
    <w:rsid w:val="002F1D63"/>
    <w:rsid w:val="002F3CED"/>
    <w:rsid w:val="002F5B9B"/>
    <w:rsid w:val="002F64F5"/>
    <w:rsid w:val="002F7042"/>
    <w:rsid w:val="002F73DF"/>
    <w:rsid w:val="003018F2"/>
    <w:rsid w:val="00301CAF"/>
    <w:rsid w:val="00304953"/>
    <w:rsid w:val="003054B7"/>
    <w:rsid w:val="00306A53"/>
    <w:rsid w:val="0031059F"/>
    <w:rsid w:val="003106D8"/>
    <w:rsid w:val="00321DC6"/>
    <w:rsid w:val="00332ED9"/>
    <w:rsid w:val="00345E87"/>
    <w:rsid w:val="00346346"/>
    <w:rsid w:val="00352E42"/>
    <w:rsid w:val="00355182"/>
    <w:rsid w:val="003571C7"/>
    <w:rsid w:val="00357260"/>
    <w:rsid w:val="00361FB6"/>
    <w:rsid w:val="00362843"/>
    <w:rsid w:val="0036367F"/>
    <w:rsid w:val="00377453"/>
    <w:rsid w:val="003841DC"/>
    <w:rsid w:val="003A61AD"/>
    <w:rsid w:val="003B12EA"/>
    <w:rsid w:val="003B6024"/>
    <w:rsid w:val="003C32D1"/>
    <w:rsid w:val="003D3509"/>
    <w:rsid w:val="003D4E11"/>
    <w:rsid w:val="003D6EC6"/>
    <w:rsid w:val="003D74BC"/>
    <w:rsid w:val="003E13DB"/>
    <w:rsid w:val="003E43E4"/>
    <w:rsid w:val="003E7044"/>
    <w:rsid w:val="003F0E62"/>
    <w:rsid w:val="003F3231"/>
    <w:rsid w:val="003F4C31"/>
    <w:rsid w:val="00400627"/>
    <w:rsid w:val="0040326E"/>
    <w:rsid w:val="00406143"/>
    <w:rsid w:val="00410E74"/>
    <w:rsid w:val="00411D98"/>
    <w:rsid w:val="00416A51"/>
    <w:rsid w:val="00421E1D"/>
    <w:rsid w:val="00422834"/>
    <w:rsid w:val="0042302E"/>
    <w:rsid w:val="00425268"/>
    <w:rsid w:val="00427FC4"/>
    <w:rsid w:val="00432C62"/>
    <w:rsid w:val="00433762"/>
    <w:rsid w:val="00434C41"/>
    <w:rsid w:val="004350C2"/>
    <w:rsid w:val="00447605"/>
    <w:rsid w:val="004523C4"/>
    <w:rsid w:val="00452632"/>
    <w:rsid w:val="00456344"/>
    <w:rsid w:val="00462242"/>
    <w:rsid w:val="00465446"/>
    <w:rsid w:val="0046565E"/>
    <w:rsid w:val="00466102"/>
    <w:rsid w:val="00474B39"/>
    <w:rsid w:val="00474D7F"/>
    <w:rsid w:val="00491B7C"/>
    <w:rsid w:val="00496846"/>
    <w:rsid w:val="004977BD"/>
    <w:rsid w:val="00497DFA"/>
    <w:rsid w:val="004A16A3"/>
    <w:rsid w:val="004A461D"/>
    <w:rsid w:val="004B0D22"/>
    <w:rsid w:val="004B48FC"/>
    <w:rsid w:val="004B72DB"/>
    <w:rsid w:val="004C2272"/>
    <w:rsid w:val="004C4C28"/>
    <w:rsid w:val="004C4CBD"/>
    <w:rsid w:val="004D17E0"/>
    <w:rsid w:val="004D670E"/>
    <w:rsid w:val="004E2705"/>
    <w:rsid w:val="004E3423"/>
    <w:rsid w:val="004E6A90"/>
    <w:rsid w:val="004E7DDB"/>
    <w:rsid w:val="004F2F29"/>
    <w:rsid w:val="004F5FDC"/>
    <w:rsid w:val="004F6776"/>
    <w:rsid w:val="004F7F5C"/>
    <w:rsid w:val="005026AB"/>
    <w:rsid w:val="00504DE6"/>
    <w:rsid w:val="00506167"/>
    <w:rsid w:val="00510E43"/>
    <w:rsid w:val="00510FFE"/>
    <w:rsid w:val="005145C1"/>
    <w:rsid w:val="005177A9"/>
    <w:rsid w:val="00521BF4"/>
    <w:rsid w:val="00522C6D"/>
    <w:rsid w:val="00524158"/>
    <w:rsid w:val="00524F85"/>
    <w:rsid w:val="0053146C"/>
    <w:rsid w:val="00542BE5"/>
    <w:rsid w:val="00543818"/>
    <w:rsid w:val="00543886"/>
    <w:rsid w:val="00545212"/>
    <w:rsid w:val="00545FE9"/>
    <w:rsid w:val="00551255"/>
    <w:rsid w:val="00553731"/>
    <w:rsid w:val="005549A5"/>
    <w:rsid w:val="00555F42"/>
    <w:rsid w:val="00556CA8"/>
    <w:rsid w:val="00556CBB"/>
    <w:rsid w:val="00556E71"/>
    <w:rsid w:val="0055783C"/>
    <w:rsid w:val="00557EAB"/>
    <w:rsid w:val="00562F97"/>
    <w:rsid w:val="00564750"/>
    <w:rsid w:val="0057028E"/>
    <w:rsid w:val="00571CA0"/>
    <w:rsid w:val="00572009"/>
    <w:rsid w:val="00572E46"/>
    <w:rsid w:val="00573C19"/>
    <w:rsid w:val="0057782E"/>
    <w:rsid w:val="005779C6"/>
    <w:rsid w:val="0058135A"/>
    <w:rsid w:val="00585A17"/>
    <w:rsid w:val="0059157B"/>
    <w:rsid w:val="005A57B7"/>
    <w:rsid w:val="005B00D5"/>
    <w:rsid w:val="005B0D27"/>
    <w:rsid w:val="005B3971"/>
    <w:rsid w:val="005B4D63"/>
    <w:rsid w:val="005B5093"/>
    <w:rsid w:val="005C0717"/>
    <w:rsid w:val="005C53FB"/>
    <w:rsid w:val="005D3003"/>
    <w:rsid w:val="005D39DE"/>
    <w:rsid w:val="005D68A3"/>
    <w:rsid w:val="005D6DB3"/>
    <w:rsid w:val="005E0403"/>
    <w:rsid w:val="005E6156"/>
    <w:rsid w:val="005E6F12"/>
    <w:rsid w:val="005F0879"/>
    <w:rsid w:val="005F36EF"/>
    <w:rsid w:val="005F5BE7"/>
    <w:rsid w:val="005F5CD8"/>
    <w:rsid w:val="0060229D"/>
    <w:rsid w:val="00602D64"/>
    <w:rsid w:val="006049CA"/>
    <w:rsid w:val="00605CBE"/>
    <w:rsid w:val="00611BC5"/>
    <w:rsid w:val="006238C4"/>
    <w:rsid w:val="00630021"/>
    <w:rsid w:val="00631E64"/>
    <w:rsid w:val="00640F3F"/>
    <w:rsid w:val="00641941"/>
    <w:rsid w:val="00647F19"/>
    <w:rsid w:val="0065528A"/>
    <w:rsid w:val="00657B08"/>
    <w:rsid w:val="006655D2"/>
    <w:rsid w:val="00675465"/>
    <w:rsid w:val="00675939"/>
    <w:rsid w:val="00676628"/>
    <w:rsid w:val="00676843"/>
    <w:rsid w:val="006863AB"/>
    <w:rsid w:val="0069250B"/>
    <w:rsid w:val="00693BC5"/>
    <w:rsid w:val="00697DA2"/>
    <w:rsid w:val="006A04BF"/>
    <w:rsid w:val="006A303D"/>
    <w:rsid w:val="006A5FD3"/>
    <w:rsid w:val="006A6BE4"/>
    <w:rsid w:val="006A77EB"/>
    <w:rsid w:val="006B0C42"/>
    <w:rsid w:val="006B311C"/>
    <w:rsid w:val="006C55D6"/>
    <w:rsid w:val="006C6393"/>
    <w:rsid w:val="006C6CF0"/>
    <w:rsid w:val="006C73F3"/>
    <w:rsid w:val="006D07FD"/>
    <w:rsid w:val="006D2EC1"/>
    <w:rsid w:val="006E1CEA"/>
    <w:rsid w:val="006F0F89"/>
    <w:rsid w:val="0070003F"/>
    <w:rsid w:val="007019F0"/>
    <w:rsid w:val="007055D4"/>
    <w:rsid w:val="00705D0F"/>
    <w:rsid w:val="00707925"/>
    <w:rsid w:val="00710070"/>
    <w:rsid w:val="007104BD"/>
    <w:rsid w:val="00713580"/>
    <w:rsid w:val="007137EB"/>
    <w:rsid w:val="007166D9"/>
    <w:rsid w:val="00725D1D"/>
    <w:rsid w:val="0072778A"/>
    <w:rsid w:val="007321B1"/>
    <w:rsid w:val="007356A5"/>
    <w:rsid w:val="007422CF"/>
    <w:rsid w:val="00746A78"/>
    <w:rsid w:val="00747E04"/>
    <w:rsid w:val="00755607"/>
    <w:rsid w:val="00755F63"/>
    <w:rsid w:val="00774114"/>
    <w:rsid w:val="00775BB8"/>
    <w:rsid w:val="00776A5F"/>
    <w:rsid w:val="007775F3"/>
    <w:rsid w:val="00781D22"/>
    <w:rsid w:val="00784257"/>
    <w:rsid w:val="00784309"/>
    <w:rsid w:val="007909E6"/>
    <w:rsid w:val="00790FD7"/>
    <w:rsid w:val="00791323"/>
    <w:rsid w:val="00791BAA"/>
    <w:rsid w:val="00793620"/>
    <w:rsid w:val="007940A4"/>
    <w:rsid w:val="0079649D"/>
    <w:rsid w:val="007A08E3"/>
    <w:rsid w:val="007A45B6"/>
    <w:rsid w:val="007A4720"/>
    <w:rsid w:val="007A4829"/>
    <w:rsid w:val="007A6873"/>
    <w:rsid w:val="007B238D"/>
    <w:rsid w:val="007C0128"/>
    <w:rsid w:val="007C6040"/>
    <w:rsid w:val="007C61B9"/>
    <w:rsid w:val="007C61C8"/>
    <w:rsid w:val="007D1C7F"/>
    <w:rsid w:val="007E0306"/>
    <w:rsid w:val="007E58C5"/>
    <w:rsid w:val="007E6074"/>
    <w:rsid w:val="007E6CFE"/>
    <w:rsid w:val="007F0B7E"/>
    <w:rsid w:val="007F1E38"/>
    <w:rsid w:val="008010C5"/>
    <w:rsid w:val="00801513"/>
    <w:rsid w:val="008016CA"/>
    <w:rsid w:val="00801EBC"/>
    <w:rsid w:val="00803F94"/>
    <w:rsid w:val="00804D90"/>
    <w:rsid w:val="008066A6"/>
    <w:rsid w:val="00835EF2"/>
    <w:rsid w:val="00836F6C"/>
    <w:rsid w:val="00837003"/>
    <w:rsid w:val="008376B3"/>
    <w:rsid w:val="00842409"/>
    <w:rsid w:val="00856A55"/>
    <w:rsid w:val="008607D2"/>
    <w:rsid w:val="008642E7"/>
    <w:rsid w:val="008732AF"/>
    <w:rsid w:val="00874B25"/>
    <w:rsid w:val="00886575"/>
    <w:rsid w:val="00890669"/>
    <w:rsid w:val="008A238E"/>
    <w:rsid w:val="008A508E"/>
    <w:rsid w:val="008A5D86"/>
    <w:rsid w:val="008B2A36"/>
    <w:rsid w:val="008C0952"/>
    <w:rsid w:val="008C1BB2"/>
    <w:rsid w:val="008C6BDE"/>
    <w:rsid w:val="008C6BFE"/>
    <w:rsid w:val="008D18CE"/>
    <w:rsid w:val="008D2F51"/>
    <w:rsid w:val="008D30CA"/>
    <w:rsid w:val="008D3160"/>
    <w:rsid w:val="008D3CA9"/>
    <w:rsid w:val="008D5814"/>
    <w:rsid w:val="008D7BAA"/>
    <w:rsid w:val="008E4CB8"/>
    <w:rsid w:val="008F4F8F"/>
    <w:rsid w:val="00903640"/>
    <w:rsid w:val="009145DB"/>
    <w:rsid w:val="0092074A"/>
    <w:rsid w:val="00920F14"/>
    <w:rsid w:val="00921A2F"/>
    <w:rsid w:val="009243A5"/>
    <w:rsid w:val="009263AB"/>
    <w:rsid w:val="009264A7"/>
    <w:rsid w:val="0092667F"/>
    <w:rsid w:val="00933BB1"/>
    <w:rsid w:val="00933D6D"/>
    <w:rsid w:val="00935675"/>
    <w:rsid w:val="009373B1"/>
    <w:rsid w:val="009407C1"/>
    <w:rsid w:val="00944C80"/>
    <w:rsid w:val="00952D9D"/>
    <w:rsid w:val="00953776"/>
    <w:rsid w:val="00955DC5"/>
    <w:rsid w:val="00957F16"/>
    <w:rsid w:val="00963636"/>
    <w:rsid w:val="00970D40"/>
    <w:rsid w:val="0097120B"/>
    <w:rsid w:val="00974756"/>
    <w:rsid w:val="0097649C"/>
    <w:rsid w:val="00980E95"/>
    <w:rsid w:val="009821BA"/>
    <w:rsid w:val="00982BBA"/>
    <w:rsid w:val="009832DA"/>
    <w:rsid w:val="00985CD6"/>
    <w:rsid w:val="0098684E"/>
    <w:rsid w:val="00991FAD"/>
    <w:rsid w:val="009A27A4"/>
    <w:rsid w:val="009A2E0E"/>
    <w:rsid w:val="009C3E36"/>
    <w:rsid w:val="009E2639"/>
    <w:rsid w:val="009F1A15"/>
    <w:rsid w:val="009F51ED"/>
    <w:rsid w:val="009F58FE"/>
    <w:rsid w:val="009F7F01"/>
    <w:rsid w:val="00A001CA"/>
    <w:rsid w:val="00A00496"/>
    <w:rsid w:val="00A009A4"/>
    <w:rsid w:val="00A01081"/>
    <w:rsid w:val="00A01D48"/>
    <w:rsid w:val="00A0364D"/>
    <w:rsid w:val="00A065D3"/>
    <w:rsid w:val="00A113DA"/>
    <w:rsid w:val="00A12687"/>
    <w:rsid w:val="00A154D3"/>
    <w:rsid w:val="00A16B82"/>
    <w:rsid w:val="00A235DE"/>
    <w:rsid w:val="00A26184"/>
    <w:rsid w:val="00A279A7"/>
    <w:rsid w:val="00A27FDA"/>
    <w:rsid w:val="00A344A0"/>
    <w:rsid w:val="00A34787"/>
    <w:rsid w:val="00A42F91"/>
    <w:rsid w:val="00A43777"/>
    <w:rsid w:val="00A55452"/>
    <w:rsid w:val="00A561D1"/>
    <w:rsid w:val="00A577BF"/>
    <w:rsid w:val="00A777CA"/>
    <w:rsid w:val="00A851C4"/>
    <w:rsid w:val="00A90B91"/>
    <w:rsid w:val="00A92921"/>
    <w:rsid w:val="00A95F73"/>
    <w:rsid w:val="00A963FA"/>
    <w:rsid w:val="00AA024E"/>
    <w:rsid w:val="00AA0FBC"/>
    <w:rsid w:val="00AA3762"/>
    <w:rsid w:val="00AA7B68"/>
    <w:rsid w:val="00AB314A"/>
    <w:rsid w:val="00AB37AE"/>
    <w:rsid w:val="00AB45BF"/>
    <w:rsid w:val="00AB7AEC"/>
    <w:rsid w:val="00AC1008"/>
    <w:rsid w:val="00AC1634"/>
    <w:rsid w:val="00AC1A08"/>
    <w:rsid w:val="00AD0C46"/>
    <w:rsid w:val="00AD1F1E"/>
    <w:rsid w:val="00AD2EA2"/>
    <w:rsid w:val="00AD69D9"/>
    <w:rsid w:val="00AE00F5"/>
    <w:rsid w:val="00AE488F"/>
    <w:rsid w:val="00AE5931"/>
    <w:rsid w:val="00AF02D3"/>
    <w:rsid w:val="00AF0DE0"/>
    <w:rsid w:val="00AF1D10"/>
    <w:rsid w:val="00AF38E4"/>
    <w:rsid w:val="00B02329"/>
    <w:rsid w:val="00B051F7"/>
    <w:rsid w:val="00B0654E"/>
    <w:rsid w:val="00B1580B"/>
    <w:rsid w:val="00B15D35"/>
    <w:rsid w:val="00B20152"/>
    <w:rsid w:val="00B21093"/>
    <w:rsid w:val="00B272E9"/>
    <w:rsid w:val="00B30EB8"/>
    <w:rsid w:val="00B3141E"/>
    <w:rsid w:val="00B33704"/>
    <w:rsid w:val="00B35E4E"/>
    <w:rsid w:val="00B368F5"/>
    <w:rsid w:val="00B36C8C"/>
    <w:rsid w:val="00B46B57"/>
    <w:rsid w:val="00B47650"/>
    <w:rsid w:val="00B500E6"/>
    <w:rsid w:val="00B51240"/>
    <w:rsid w:val="00B53527"/>
    <w:rsid w:val="00B612B3"/>
    <w:rsid w:val="00B63EFA"/>
    <w:rsid w:val="00B67DCA"/>
    <w:rsid w:val="00B70AA4"/>
    <w:rsid w:val="00B71A7A"/>
    <w:rsid w:val="00B74380"/>
    <w:rsid w:val="00B757B4"/>
    <w:rsid w:val="00B84B98"/>
    <w:rsid w:val="00B855A1"/>
    <w:rsid w:val="00B906CB"/>
    <w:rsid w:val="00B90CA9"/>
    <w:rsid w:val="00B91BB1"/>
    <w:rsid w:val="00B92FCD"/>
    <w:rsid w:val="00BA27FF"/>
    <w:rsid w:val="00BA3365"/>
    <w:rsid w:val="00BA5368"/>
    <w:rsid w:val="00BA6BE7"/>
    <w:rsid w:val="00BB1074"/>
    <w:rsid w:val="00BB2E7C"/>
    <w:rsid w:val="00BB5DA1"/>
    <w:rsid w:val="00BC34EF"/>
    <w:rsid w:val="00BC7BC7"/>
    <w:rsid w:val="00BC7DED"/>
    <w:rsid w:val="00BD2290"/>
    <w:rsid w:val="00BD2B92"/>
    <w:rsid w:val="00BD60DC"/>
    <w:rsid w:val="00BE18E8"/>
    <w:rsid w:val="00BE3C6C"/>
    <w:rsid w:val="00BE4680"/>
    <w:rsid w:val="00BE726E"/>
    <w:rsid w:val="00BE7C2D"/>
    <w:rsid w:val="00BF08FB"/>
    <w:rsid w:val="00BF105E"/>
    <w:rsid w:val="00BF2002"/>
    <w:rsid w:val="00C154AE"/>
    <w:rsid w:val="00C20378"/>
    <w:rsid w:val="00C22358"/>
    <w:rsid w:val="00C2326D"/>
    <w:rsid w:val="00C26A44"/>
    <w:rsid w:val="00C277A5"/>
    <w:rsid w:val="00C30B93"/>
    <w:rsid w:val="00C338FC"/>
    <w:rsid w:val="00C351E3"/>
    <w:rsid w:val="00C36E2C"/>
    <w:rsid w:val="00C455F8"/>
    <w:rsid w:val="00C47392"/>
    <w:rsid w:val="00C51093"/>
    <w:rsid w:val="00C53AC3"/>
    <w:rsid w:val="00C54D4F"/>
    <w:rsid w:val="00C55FC9"/>
    <w:rsid w:val="00C63AB9"/>
    <w:rsid w:val="00C66549"/>
    <w:rsid w:val="00C72505"/>
    <w:rsid w:val="00C74766"/>
    <w:rsid w:val="00C75FE0"/>
    <w:rsid w:val="00C81924"/>
    <w:rsid w:val="00C834DE"/>
    <w:rsid w:val="00C8703C"/>
    <w:rsid w:val="00C878BE"/>
    <w:rsid w:val="00C878EA"/>
    <w:rsid w:val="00C91808"/>
    <w:rsid w:val="00C966C9"/>
    <w:rsid w:val="00C96B1F"/>
    <w:rsid w:val="00C976FF"/>
    <w:rsid w:val="00CA1377"/>
    <w:rsid w:val="00CA5B86"/>
    <w:rsid w:val="00CA689B"/>
    <w:rsid w:val="00CA6AB1"/>
    <w:rsid w:val="00CA7996"/>
    <w:rsid w:val="00CB453C"/>
    <w:rsid w:val="00CC1958"/>
    <w:rsid w:val="00CC3E74"/>
    <w:rsid w:val="00CC4F25"/>
    <w:rsid w:val="00CC7B92"/>
    <w:rsid w:val="00CD03AA"/>
    <w:rsid w:val="00CD47A4"/>
    <w:rsid w:val="00CE0293"/>
    <w:rsid w:val="00CE4684"/>
    <w:rsid w:val="00CE5513"/>
    <w:rsid w:val="00CF002E"/>
    <w:rsid w:val="00CF7618"/>
    <w:rsid w:val="00CF7D39"/>
    <w:rsid w:val="00CF7DD4"/>
    <w:rsid w:val="00D02558"/>
    <w:rsid w:val="00D16639"/>
    <w:rsid w:val="00D21CD9"/>
    <w:rsid w:val="00D221E0"/>
    <w:rsid w:val="00D242B6"/>
    <w:rsid w:val="00D24C91"/>
    <w:rsid w:val="00D3041D"/>
    <w:rsid w:val="00D361D1"/>
    <w:rsid w:val="00D450F5"/>
    <w:rsid w:val="00D466F9"/>
    <w:rsid w:val="00D53F56"/>
    <w:rsid w:val="00D54A31"/>
    <w:rsid w:val="00D54A48"/>
    <w:rsid w:val="00D54E1E"/>
    <w:rsid w:val="00D5506B"/>
    <w:rsid w:val="00D60471"/>
    <w:rsid w:val="00D60B75"/>
    <w:rsid w:val="00D60DED"/>
    <w:rsid w:val="00D65439"/>
    <w:rsid w:val="00D65ECE"/>
    <w:rsid w:val="00D66BE3"/>
    <w:rsid w:val="00D67315"/>
    <w:rsid w:val="00D67719"/>
    <w:rsid w:val="00D67F90"/>
    <w:rsid w:val="00D70F6B"/>
    <w:rsid w:val="00D75484"/>
    <w:rsid w:val="00D75D1A"/>
    <w:rsid w:val="00D77374"/>
    <w:rsid w:val="00D8224D"/>
    <w:rsid w:val="00D855A1"/>
    <w:rsid w:val="00D85764"/>
    <w:rsid w:val="00D8604E"/>
    <w:rsid w:val="00D86FB0"/>
    <w:rsid w:val="00DA1470"/>
    <w:rsid w:val="00DA1812"/>
    <w:rsid w:val="00DA47C6"/>
    <w:rsid w:val="00DA5CBB"/>
    <w:rsid w:val="00DB03E7"/>
    <w:rsid w:val="00DB4A4E"/>
    <w:rsid w:val="00DC3734"/>
    <w:rsid w:val="00DD06D3"/>
    <w:rsid w:val="00DD06E9"/>
    <w:rsid w:val="00DD0897"/>
    <w:rsid w:val="00DD64F9"/>
    <w:rsid w:val="00DE087D"/>
    <w:rsid w:val="00DE4F60"/>
    <w:rsid w:val="00DF1F58"/>
    <w:rsid w:val="00DF2C0E"/>
    <w:rsid w:val="00DF6D3F"/>
    <w:rsid w:val="00E007BA"/>
    <w:rsid w:val="00E03500"/>
    <w:rsid w:val="00E0359A"/>
    <w:rsid w:val="00E06B12"/>
    <w:rsid w:val="00E11389"/>
    <w:rsid w:val="00E2111C"/>
    <w:rsid w:val="00E2533C"/>
    <w:rsid w:val="00E378F9"/>
    <w:rsid w:val="00E41794"/>
    <w:rsid w:val="00E42DF9"/>
    <w:rsid w:val="00E52CDC"/>
    <w:rsid w:val="00E55E00"/>
    <w:rsid w:val="00E572F4"/>
    <w:rsid w:val="00E64954"/>
    <w:rsid w:val="00E67329"/>
    <w:rsid w:val="00E673AF"/>
    <w:rsid w:val="00E71CDD"/>
    <w:rsid w:val="00E72A8B"/>
    <w:rsid w:val="00E72D3E"/>
    <w:rsid w:val="00E737F1"/>
    <w:rsid w:val="00E80EC0"/>
    <w:rsid w:val="00E82525"/>
    <w:rsid w:val="00E86563"/>
    <w:rsid w:val="00E9185C"/>
    <w:rsid w:val="00E92547"/>
    <w:rsid w:val="00E928E0"/>
    <w:rsid w:val="00E93453"/>
    <w:rsid w:val="00EA20C3"/>
    <w:rsid w:val="00EA75B5"/>
    <w:rsid w:val="00EA7A6E"/>
    <w:rsid w:val="00EB0FC8"/>
    <w:rsid w:val="00EB2644"/>
    <w:rsid w:val="00EB3583"/>
    <w:rsid w:val="00EB49D9"/>
    <w:rsid w:val="00EC6ADA"/>
    <w:rsid w:val="00ED0E5B"/>
    <w:rsid w:val="00ED271E"/>
    <w:rsid w:val="00ED422C"/>
    <w:rsid w:val="00ED4780"/>
    <w:rsid w:val="00ED5049"/>
    <w:rsid w:val="00ED7BB3"/>
    <w:rsid w:val="00EE5FC5"/>
    <w:rsid w:val="00EF2636"/>
    <w:rsid w:val="00EF3240"/>
    <w:rsid w:val="00EF6757"/>
    <w:rsid w:val="00F0179C"/>
    <w:rsid w:val="00F017AB"/>
    <w:rsid w:val="00F02031"/>
    <w:rsid w:val="00F02442"/>
    <w:rsid w:val="00F0367E"/>
    <w:rsid w:val="00F04920"/>
    <w:rsid w:val="00F04ACA"/>
    <w:rsid w:val="00F055E0"/>
    <w:rsid w:val="00F05D9C"/>
    <w:rsid w:val="00F07554"/>
    <w:rsid w:val="00F17A6D"/>
    <w:rsid w:val="00F206CF"/>
    <w:rsid w:val="00F25032"/>
    <w:rsid w:val="00F31638"/>
    <w:rsid w:val="00F3483D"/>
    <w:rsid w:val="00F401B5"/>
    <w:rsid w:val="00F40A8D"/>
    <w:rsid w:val="00F43D57"/>
    <w:rsid w:val="00F51823"/>
    <w:rsid w:val="00F704CB"/>
    <w:rsid w:val="00F7289A"/>
    <w:rsid w:val="00F7302F"/>
    <w:rsid w:val="00F77A4D"/>
    <w:rsid w:val="00F80932"/>
    <w:rsid w:val="00F86794"/>
    <w:rsid w:val="00F941F7"/>
    <w:rsid w:val="00FA2F0D"/>
    <w:rsid w:val="00FA4F01"/>
    <w:rsid w:val="00FA6352"/>
    <w:rsid w:val="00FB1E05"/>
    <w:rsid w:val="00FB2977"/>
    <w:rsid w:val="00FB3ACC"/>
    <w:rsid w:val="00FB48DE"/>
    <w:rsid w:val="00FC06EF"/>
    <w:rsid w:val="00FC5CF5"/>
    <w:rsid w:val="00FD6B95"/>
    <w:rsid w:val="00FE0100"/>
    <w:rsid w:val="00FE2320"/>
    <w:rsid w:val="00FE3BBF"/>
    <w:rsid w:val="00FF226E"/>
    <w:rsid w:val="00FF2A02"/>
    <w:rsid w:val="00FF500D"/>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B0716"/>
  <w15:docId w15:val="{D89C6A3D-A702-9646-9A06-78180F23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Char"/>
    <w:uiPriority w:val="9"/>
    <w:qFormat/>
    <w:rsid w:val="004A16A3"/>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 w:type="character" w:customStyle="1" w:styleId="3Char">
    <w:name w:val="Επικεφαλίδα 3 Char"/>
    <w:basedOn w:val="a0"/>
    <w:link w:val="3"/>
    <w:uiPriority w:val="9"/>
    <w:rsid w:val="004A16A3"/>
    <w:rPr>
      <w:rFonts w:ascii="Times New Roman" w:eastAsia="Times New Roman" w:hAnsi="Times New Roman" w:cs="Times New Roman"/>
      <w:b/>
      <w:bCs/>
      <w:sz w:val="27"/>
      <w:szCs w:val="27"/>
      <w:lang w:val="pl-PL" w:eastAsia="pl-PL"/>
    </w:rPr>
  </w:style>
  <w:style w:type="paragraph" w:styleId="Web">
    <w:name w:val="Normal (Web)"/>
    <w:basedOn w:val="a"/>
    <w:uiPriority w:val="99"/>
    <w:unhideWhenUsed/>
    <w:rsid w:val="004A16A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a8">
    <w:name w:val="Emphasis"/>
    <w:basedOn w:val="a0"/>
    <w:uiPriority w:val="20"/>
    <w:qFormat/>
    <w:rsid w:val="004A16A3"/>
    <w:rPr>
      <w:i/>
      <w:iCs/>
    </w:rPr>
  </w:style>
  <w:style w:type="character" w:styleId="a9">
    <w:name w:val="Strong"/>
    <w:basedOn w:val="a0"/>
    <w:uiPriority w:val="22"/>
    <w:qFormat/>
    <w:rsid w:val="004A16A3"/>
    <w:rPr>
      <w:b/>
      <w:bCs/>
    </w:rPr>
  </w:style>
  <w:style w:type="character" w:styleId="aa">
    <w:name w:val="annotation reference"/>
    <w:basedOn w:val="a0"/>
    <w:uiPriority w:val="99"/>
    <w:semiHidden/>
    <w:unhideWhenUsed/>
    <w:rsid w:val="005F0879"/>
    <w:rPr>
      <w:sz w:val="16"/>
      <w:szCs w:val="16"/>
    </w:rPr>
  </w:style>
  <w:style w:type="paragraph" w:styleId="ab">
    <w:name w:val="annotation text"/>
    <w:basedOn w:val="a"/>
    <w:link w:val="Char3"/>
    <w:uiPriority w:val="99"/>
    <w:semiHidden/>
    <w:unhideWhenUsed/>
    <w:rsid w:val="005F0879"/>
    <w:pPr>
      <w:spacing w:line="240" w:lineRule="auto"/>
    </w:pPr>
    <w:rPr>
      <w:sz w:val="20"/>
      <w:szCs w:val="20"/>
    </w:rPr>
  </w:style>
  <w:style w:type="character" w:customStyle="1" w:styleId="Char3">
    <w:name w:val="Κείμενο σχολίου Char"/>
    <w:basedOn w:val="a0"/>
    <w:link w:val="ab"/>
    <w:uiPriority w:val="99"/>
    <w:semiHidden/>
    <w:rsid w:val="005F0879"/>
    <w:rPr>
      <w:sz w:val="20"/>
      <w:szCs w:val="20"/>
    </w:rPr>
  </w:style>
  <w:style w:type="paragraph" w:styleId="ac">
    <w:name w:val="annotation subject"/>
    <w:basedOn w:val="ab"/>
    <w:next w:val="ab"/>
    <w:link w:val="Char4"/>
    <w:uiPriority w:val="99"/>
    <w:semiHidden/>
    <w:unhideWhenUsed/>
    <w:rsid w:val="005F0879"/>
    <w:rPr>
      <w:b/>
      <w:bCs/>
    </w:rPr>
  </w:style>
  <w:style w:type="character" w:customStyle="1" w:styleId="Char4">
    <w:name w:val="Θέμα σχολίου Char"/>
    <w:basedOn w:val="Char3"/>
    <w:link w:val="ac"/>
    <w:uiPriority w:val="99"/>
    <w:semiHidden/>
    <w:rsid w:val="005F0879"/>
    <w:rPr>
      <w:b/>
      <w:bCs/>
      <w:sz w:val="20"/>
      <w:szCs w:val="20"/>
    </w:rPr>
  </w:style>
  <w:style w:type="character" w:styleId="ad">
    <w:name w:val="Unresolved Mention"/>
    <w:basedOn w:val="a0"/>
    <w:uiPriority w:val="99"/>
    <w:semiHidden/>
    <w:unhideWhenUsed/>
    <w:rsid w:val="00562F97"/>
    <w:rPr>
      <w:color w:val="605E5C"/>
      <w:shd w:val="clear" w:color="auto" w:fill="E1DFDD"/>
    </w:rPr>
  </w:style>
  <w:style w:type="character" w:customStyle="1" w:styleId="yiv5137531300bumpedfont15">
    <w:name w:val="yiv5137531300bumpedfont15"/>
    <w:basedOn w:val="a0"/>
    <w:rsid w:val="00035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5011">
      <w:bodyDiv w:val="1"/>
      <w:marLeft w:val="0"/>
      <w:marRight w:val="0"/>
      <w:marTop w:val="0"/>
      <w:marBottom w:val="0"/>
      <w:divBdr>
        <w:top w:val="none" w:sz="0" w:space="0" w:color="auto"/>
        <w:left w:val="none" w:sz="0" w:space="0" w:color="auto"/>
        <w:bottom w:val="none" w:sz="0" w:space="0" w:color="auto"/>
        <w:right w:val="none" w:sz="0" w:space="0" w:color="auto"/>
      </w:divBdr>
      <w:divsChild>
        <w:div w:id="1353265888">
          <w:marLeft w:val="0"/>
          <w:marRight w:val="0"/>
          <w:marTop w:val="0"/>
          <w:marBottom w:val="0"/>
          <w:divBdr>
            <w:top w:val="none" w:sz="0" w:space="0" w:color="auto"/>
            <w:left w:val="none" w:sz="0" w:space="0" w:color="auto"/>
            <w:bottom w:val="none" w:sz="0" w:space="0" w:color="auto"/>
            <w:right w:val="none" w:sz="0" w:space="0" w:color="auto"/>
          </w:divBdr>
        </w:div>
        <w:div w:id="1475105176">
          <w:marLeft w:val="0"/>
          <w:marRight w:val="0"/>
          <w:marTop w:val="0"/>
          <w:marBottom w:val="0"/>
          <w:divBdr>
            <w:top w:val="none" w:sz="0" w:space="0" w:color="auto"/>
            <w:left w:val="none" w:sz="0" w:space="0" w:color="auto"/>
            <w:bottom w:val="none" w:sz="0" w:space="0" w:color="auto"/>
            <w:right w:val="none" w:sz="0" w:space="0" w:color="auto"/>
          </w:divBdr>
        </w:div>
        <w:div w:id="1507398920">
          <w:marLeft w:val="0"/>
          <w:marRight w:val="0"/>
          <w:marTop w:val="0"/>
          <w:marBottom w:val="0"/>
          <w:divBdr>
            <w:top w:val="none" w:sz="0" w:space="0" w:color="auto"/>
            <w:left w:val="none" w:sz="0" w:space="0" w:color="auto"/>
            <w:bottom w:val="none" w:sz="0" w:space="0" w:color="auto"/>
            <w:right w:val="none" w:sz="0" w:space="0" w:color="auto"/>
          </w:divBdr>
        </w:div>
        <w:div w:id="1488983062">
          <w:marLeft w:val="0"/>
          <w:marRight w:val="0"/>
          <w:marTop w:val="0"/>
          <w:marBottom w:val="0"/>
          <w:divBdr>
            <w:top w:val="none" w:sz="0" w:space="0" w:color="auto"/>
            <w:left w:val="none" w:sz="0" w:space="0" w:color="auto"/>
            <w:bottom w:val="none" w:sz="0" w:space="0" w:color="auto"/>
            <w:right w:val="none" w:sz="0" w:space="0" w:color="auto"/>
          </w:divBdr>
        </w:div>
        <w:div w:id="225989867">
          <w:marLeft w:val="0"/>
          <w:marRight w:val="0"/>
          <w:marTop w:val="0"/>
          <w:marBottom w:val="0"/>
          <w:divBdr>
            <w:top w:val="none" w:sz="0" w:space="0" w:color="auto"/>
            <w:left w:val="none" w:sz="0" w:space="0" w:color="auto"/>
            <w:bottom w:val="none" w:sz="0" w:space="0" w:color="auto"/>
            <w:right w:val="none" w:sz="0" w:space="0" w:color="auto"/>
          </w:divBdr>
        </w:div>
        <w:div w:id="1859200996">
          <w:marLeft w:val="0"/>
          <w:marRight w:val="0"/>
          <w:marTop w:val="0"/>
          <w:marBottom w:val="0"/>
          <w:divBdr>
            <w:top w:val="none" w:sz="0" w:space="0" w:color="auto"/>
            <w:left w:val="none" w:sz="0" w:space="0" w:color="auto"/>
            <w:bottom w:val="none" w:sz="0" w:space="0" w:color="auto"/>
            <w:right w:val="none" w:sz="0" w:space="0" w:color="auto"/>
          </w:divBdr>
        </w:div>
        <w:div w:id="2004161921">
          <w:marLeft w:val="0"/>
          <w:marRight w:val="0"/>
          <w:marTop w:val="0"/>
          <w:marBottom w:val="0"/>
          <w:divBdr>
            <w:top w:val="none" w:sz="0" w:space="0" w:color="auto"/>
            <w:left w:val="none" w:sz="0" w:space="0" w:color="auto"/>
            <w:bottom w:val="none" w:sz="0" w:space="0" w:color="auto"/>
            <w:right w:val="none" w:sz="0" w:space="0" w:color="auto"/>
          </w:divBdr>
        </w:div>
        <w:div w:id="164438378">
          <w:marLeft w:val="0"/>
          <w:marRight w:val="0"/>
          <w:marTop w:val="0"/>
          <w:marBottom w:val="0"/>
          <w:divBdr>
            <w:top w:val="none" w:sz="0" w:space="0" w:color="auto"/>
            <w:left w:val="none" w:sz="0" w:space="0" w:color="auto"/>
            <w:bottom w:val="none" w:sz="0" w:space="0" w:color="auto"/>
            <w:right w:val="none" w:sz="0" w:space="0" w:color="auto"/>
          </w:divBdr>
        </w:div>
        <w:div w:id="69813464">
          <w:marLeft w:val="0"/>
          <w:marRight w:val="0"/>
          <w:marTop w:val="0"/>
          <w:marBottom w:val="0"/>
          <w:divBdr>
            <w:top w:val="none" w:sz="0" w:space="0" w:color="auto"/>
            <w:left w:val="none" w:sz="0" w:space="0" w:color="auto"/>
            <w:bottom w:val="none" w:sz="0" w:space="0" w:color="auto"/>
            <w:right w:val="none" w:sz="0" w:space="0" w:color="auto"/>
          </w:divBdr>
        </w:div>
        <w:div w:id="831917728">
          <w:marLeft w:val="0"/>
          <w:marRight w:val="0"/>
          <w:marTop w:val="0"/>
          <w:marBottom w:val="0"/>
          <w:divBdr>
            <w:top w:val="none" w:sz="0" w:space="0" w:color="auto"/>
            <w:left w:val="none" w:sz="0" w:space="0" w:color="auto"/>
            <w:bottom w:val="none" w:sz="0" w:space="0" w:color="auto"/>
            <w:right w:val="none" w:sz="0" w:space="0" w:color="auto"/>
          </w:divBdr>
        </w:div>
        <w:div w:id="317928592">
          <w:marLeft w:val="0"/>
          <w:marRight w:val="0"/>
          <w:marTop w:val="0"/>
          <w:marBottom w:val="0"/>
          <w:divBdr>
            <w:top w:val="none" w:sz="0" w:space="0" w:color="auto"/>
            <w:left w:val="none" w:sz="0" w:space="0" w:color="auto"/>
            <w:bottom w:val="none" w:sz="0" w:space="0" w:color="auto"/>
            <w:right w:val="none" w:sz="0" w:space="0" w:color="auto"/>
          </w:divBdr>
        </w:div>
      </w:divsChild>
    </w:div>
    <w:div w:id="302589561">
      <w:bodyDiv w:val="1"/>
      <w:marLeft w:val="0"/>
      <w:marRight w:val="0"/>
      <w:marTop w:val="0"/>
      <w:marBottom w:val="0"/>
      <w:divBdr>
        <w:top w:val="none" w:sz="0" w:space="0" w:color="auto"/>
        <w:left w:val="none" w:sz="0" w:space="0" w:color="auto"/>
        <w:bottom w:val="none" w:sz="0" w:space="0" w:color="auto"/>
        <w:right w:val="none" w:sz="0" w:space="0" w:color="auto"/>
      </w:divBdr>
    </w:div>
    <w:div w:id="480342939">
      <w:bodyDiv w:val="1"/>
      <w:marLeft w:val="0"/>
      <w:marRight w:val="0"/>
      <w:marTop w:val="0"/>
      <w:marBottom w:val="0"/>
      <w:divBdr>
        <w:top w:val="none" w:sz="0" w:space="0" w:color="auto"/>
        <w:left w:val="none" w:sz="0" w:space="0" w:color="auto"/>
        <w:bottom w:val="none" w:sz="0" w:space="0" w:color="auto"/>
        <w:right w:val="none" w:sz="0" w:space="0" w:color="auto"/>
      </w:divBdr>
    </w:div>
    <w:div w:id="1298536573">
      <w:bodyDiv w:val="1"/>
      <w:marLeft w:val="0"/>
      <w:marRight w:val="0"/>
      <w:marTop w:val="0"/>
      <w:marBottom w:val="0"/>
      <w:divBdr>
        <w:top w:val="none" w:sz="0" w:space="0" w:color="auto"/>
        <w:left w:val="none" w:sz="0" w:space="0" w:color="auto"/>
        <w:bottom w:val="none" w:sz="0" w:space="0" w:color="auto"/>
        <w:right w:val="none" w:sz="0" w:space="0" w:color="auto"/>
      </w:divBdr>
      <w:divsChild>
        <w:div w:id="1585257582">
          <w:marLeft w:val="0"/>
          <w:marRight w:val="0"/>
          <w:marTop w:val="0"/>
          <w:marBottom w:val="240"/>
          <w:divBdr>
            <w:top w:val="none" w:sz="0" w:space="0" w:color="auto"/>
            <w:left w:val="none" w:sz="0" w:space="0" w:color="auto"/>
            <w:bottom w:val="single" w:sz="6" w:space="0" w:color="C8C9CA"/>
            <w:right w:val="none" w:sz="0" w:space="0" w:color="auto"/>
          </w:divBdr>
        </w:div>
        <w:div w:id="1394432225">
          <w:marLeft w:val="0"/>
          <w:marRight w:val="0"/>
          <w:marTop w:val="0"/>
          <w:marBottom w:val="0"/>
          <w:divBdr>
            <w:top w:val="none" w:sz="0" w:space="0" w:color="auto"/>
            <w:left w:val="none" w:sz="0" w:space="0" w:color="auto"/>
            <w:bottom w:val="none" w:sz="0" w:space="0" w:color="auto"/>
            <w:right w:val="none" w:sz="0" w:space="0" w:color="auto"/>
          </w:divBdr>
          <w:divsChild>
            <w:div w:id="1854373489">
              <w:marLeft w:val="0"/>
              <w:marRight w:val="150"/>
              <w:marTop w:val="0"/>
              <w:marBottom w:val="0"/>
              <w:divBdr>
                <w:top w:val="none" w:sz="0" w:space="0" w:color="auto"/>
                <w:left w:val="none" w:sz="0" w:space="0" w:color="auto"/>
                <w:bottom w:val="none" w:sz="0" w:space="0" w:color="auto"/>
                <w:right w:val="none" w:sz="0" w:space="0" w:color="auto"/>
              </w:divBdr>
              <w:divsChild>
                <w:div w:id="6256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2878</Words>
  <Characters>17532</Characters>
  <Application>Microsoft Office Word</Application>
  <DocSecurity>0</DocSecurity>
  <Lines>373</Lines>
  <Paragraphs>120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Microsoft Office User</cp:lastModifiedBy>
  <cp:revision>59</cp:revision>
  <cp:lastPrinted>2023-07-28T08:40:00Z</cp:lastPrinted>
  <dcterms:created xsi:type="dcterms:W3CDTF">2023-09-13T12:23:00Z</dcterms:created>
  <dcterms:modified xsi:type="dcterms:W3CDTF">2023-09-19T11:07:00Z</dcterms:modified>
</cp:coreProperties>
</file>